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C1BDB" w14:textId="77777777" w:rsidR="00C058B7" w:rsidRDefault="00C058B7" w:rsidP="00C058B7">
      <w:pPr>
        <w:spacing w:after="0" w:line="240" w:lineRule="auto"/>
        <w:jc w:val="center"/>
        <w:rPr>
          <w:rFonts w:ascii="Times New Roman" w:eastAsia="Times New Roman" w:hAnsi="Times New Roman"/>
          <w:b/>
          <w:bCs/>
          <w:sz w:val="36"/>
          <w:szCs w:val="24"/>
        </w:rPr>
      </w:pPr>
      <w:r w:rsidRPr="00C058B7">
        <w:rPr>
          <w:rFonts w:ascii="Times New Roman" w:eastAsia="Times New Roman" w:hAnsi="Times New Roman"/>
          <w:b/>
          <w:bCs/>
          <w:sz w:val="36"/>
          <w:szCs w:val="24"/>
        </w:rPr>
        <w:t xml:space="preserve">Occupational Mental Health Literacy in Zimbabwe's Energy </w:t>
      </w:r>
    </w:p>
    <w:p w14:paraId="6CE57CDE" w14:textId="77777777" w:rsidR="00C058B7" w:rsidRPr="00C058B7" w:rsidRDefault="00C058B7" w:rsidP="00C058B7">
      <w:pPr>
        <w:spacing w:after="240" w:line="240" w:lineRule="auto"/>
        <w:jc w:val="center"/>
        <w:rPr>
          <w:rFonts w:ascii="Times New Roman" w:hAnsi="Times New Roman"/>
          <w:sz w:val="36"/>
          <w:szCs w:val="24"/>
        </w:rPr>
      </w:pPr>
      <w:r w:rsidRPr="00C058B7">
        <w:rPr>
          <w:rFonts w:ascii="Times New Roman" w:eastAsia="Times New Roman" w:hAnsi="Times New Roman"/>
          <w:b/>
          <w:bCs/>
          <w:sz w:val="36"/>
          <w:szCs w:val="24"/>
        </w:rPr>
        <w:t>Sector: A Conceptual Review and Research Agenda</w:t>
      </w:r>
    </w:p>
    <w:p w14:paraId="3AF44876" w14:textId="77777777" w:rsidR="00C058B7" w:rsidRPr="00C058B7" w:rsidRDefault="00C058B7" w:rsidP="00C058B7">
      <w:pPr>
        <w:spacing w:after="240" w:line="240" w:lineRule="auto"/>
        <w:jc w:val="center"/>
        <w:rPr>
          <w:rFonts w:ascii="Times New Roman" w:eastAsia="Times New Roman" w:hAnsi="Times New Roman"/>
          <w:b/>
          <w:sz w:val="24"/>
          <w:szCs w:val="24"/>
        </w:rPr>
      </w:pPr>
      <w:r w:rsidRPr="00C058B7">
        <w:rPr>
          <w:rFonts w:ascii="Times New Roman" w:eastAsia="Times New Roman" w:hAnsi="Times New Roman"/>
          <w:b/>
          <w:sz w:val="24"/>
          <w:szCs w:val="24"/>
        </w:rPr>
        <w:t>Nkosinathi Sibanda* and Dr Henry Chinhara</w:t>
      </w:r>
    </w:p>
    <w:p w14:paraId="488C9B6D" w14:textId="77777777" w:rsidR="00C058B7" w:rsidRPr="00C058B7" w:rsidRDefault="00FA749D" w:rsidP="00C058B7">
      <w:pPr>
        <w:spacing w:after="240" w:line="240" w:lineRule="auto"/>
        <w:jc w:val="center"/>
        <w:rPr>
          <w:rFonts w:ascii="Times New Roman" w:hAnsi="Times New Roman"/>
          <w:b/>
          <w:sz w:val="24"/>
          <w:szCs w:val="24"/>
        </w:rPr>
      </w:pPr>
      <w:proofErr w:type="spellStart"/>
      <w:r w:rsidRPr="00FA749D">
        <w:rPr>
          <w:rFonts w:ascii="Times New Roman" w:hAnsi="Times New Roman"/>
          <w:b/>
          <w:sz w:val="24"/>
          <w:szCs w:val="24"/>
        </w:rPr>
        <w:t>Haverst</w:t>
      </w:r>
      <w:proofErr w:type="spellEnd"/>
      <w:r w:rsidRPr="00FA749D">
        <w:rPr>
          <w:rFonts w:ascii="Times New Roman" w:hAnsi="Times New Roman"/>
          <w:b/>
          <w:sz w:val="24"/>
          <w:szCs w:val="24"/>
        </w:rPr>
        <w:t xml:space="preserve"> House</w:t>
      </w:r>
      <w:r>
        <w:rPr>
          <w:rFonts w:ascii="Times New Roman" w:hAnsi="Times New Roman"/>
          <w:b/>
          <w:sz w:val="24"/>
          <w:szCs w:val="24"/>
        </w:rPr>
        <w:t>,</w:t>
      </w:r>
      <w:r w:rsidRPr="00FA749D">
        <w:t xml:space="preserve"> </w:t>
      </w:r>
      <w:r w:rsidRPr="00FA749D">
        <w:rPr>
          <w:rFonts w:ascii="Times New Roman" w:hAnsi="Times New Roman"/>
          <w:b/>
          <w:sz w:val="24"/>
          <w:szCs w:val="24"/>
        </w:rPr>
        <w:t>Zimbabwe</w:t>
      </w:r>
    </w:p>
    <w:p w14:paraId="55338627" w14:textId="77777777" w:rsidR="00C058B7" w:rsidRPr="00C058B7" w:rsidRDefault="00C058B7" w:rsidP="00C058B7">
      <w:pPr>
        <w:spacing w:after="240" w:line="240" w:lineRule="auto"/>
        <w:jc w:val="center"/>
        <w:rPr>
          <w:rFonts w:ascii="Times New Roman" w:eastAsia="Times New Roman" w:hAnsi="Times New Roman"/>
          <w:b/>
          <w:sz w:val="24"/>
          <w:szCs w:val="24"/>
        </w:rPr>
      </w:pPr>
      <w:r w:rsidRPr="00C058B7">
        <w:rPr>
          <w:rFonts w:ascii="Times New Roman" w:eastAsia="Times New Roman" w:hAnsi="Times New Roman"/>
          <w:b/>
          <w:sz w:val="24"/>
          <w:szCs w:val="24"/>
        </w:rPr>
        <w:t xml:space="preserve">*Corresponding Author </w:t>
      </w:r>
    </w:p>
    <w:p w14:paraId="34AE730A" w14:textId="4D2E68C2" w:rsidR="00C058B7" w:rsidRPr="00C058B7" w:rsidRDefault="00C058B7" w:rsidP="00C058B7">
      <w:pPr>
        <w:pStyle w:val="NoSpacing"/>
        <w:tabs>
          <w:tab w:val="center" w:pos="4988"/>
          <w:tab w:val="left" w:pos="10620"/>
        </w:tabs>
        <w:spacing w:after="240"/>
        <w:ind w:right="-17"/>
        <w:jc w:val="center"/>
        <w:rPr>
          <w:rFonts w:ascii="Times New Roman" w:hAnsi="Times New Roman" w:cs="Times New Roman"/>
          <w:b/>
          <w:color w:val="0070C0"/>
          <w:sz w:val="24"/>
          <w:szCs w:val="24"/>
          <w:u w:val="single"/>
        </w:rPr>
      </w:pPr>
      <w:r w:rsidRPr="00C058B7">
        <w:rPr>
          <w:rFonts w:ascii="Times New Roman" w:hAnsi="Times New Roman" w:cs="Times New Roman"/>
          <w:b/>
          <w:bCs/>
          <w:sz w:val="24"/>
          <w:szCs w:val="24"/>
        </w:rPr>
        <w:t xml:space="preserve">DOI: </w:t>
      </w:r>
      <w:hyperlink r:id="rId8" w:history="1">
        <w:r w:rsidRPr="00C058B7">
          <w:rPr>
            <w:rStyle w:val="Hyperlink"/>
            <w:rFonts w:ascii="Times New Roman" w:hAnsi="Times New Roman" w:cs="Times New Roman"/>
            <w:b/>
            <w:color w:val="0070C0"/>
            <w:sz w:val="24"/>
            <w:szCs w:val="24"/>
          </w:rPr>
          <w:t>https://doi.org/10.68050/JAMS</w:t>
        </w:r>
        <w:r w:rsidR="00A61171">
          <w:rPr>
            <w:rStyle w:val="Hyperlink"/>
            <w:rFonts w:ascii="Times New Roman" w:hAnsi="Times New Roman" w:cs="Times New Roman"/>
            <w:b/>
            <w:color w:val="0070C0"/>
            <w:sz w:val="24"/>
            <w:szCs w:val="24"/>
          </w:rPr>
          <w:t>.2026.482</w:t>
        </w:r>
      </w:hyperlink>
    </w:p>
    <w:p w14:paraId="23801D8D" w14:textId="6EBFA2FE" w:rsidR="00C058B7" w:rsidRPr="00C058B7" w:rsidRDefault="00C058B7" w:rsidP="00C058B7">
      <w:pPr>
        <w:tabs>
          <w:tab w:val="left" w:pos="10620"/>
        </w:tabs>
        <w:spacing w:after="240" w:line="240" w:lineRule="auto"/>
        <w:ind w:right="-17" w:firstLine="386"/>
        <w:jc w:val="center"/>
        <w:rPr>
          <w:rFonts w:ascii="Times New Roman" w:hAnsi="Times New Roman"/>
          <w:b/>
          <w:sz w:val="24"/>
          <w:szCs w:val="24"/>
        </w:rPr>
      </w:pPr>
      <w:r w:rsidRPr="00C058B7">
        <w:rPr>
          <w:rFonts w:ascii="Times New Roman" w:hAnsi="Times New Roman"/>
          <w:b/>
          <w:sz w:val="24"/>
          <w:szCs w:val="24"/>
          <w:lang w:eastAsia="en-IN"/>
        </w:rPr>
        <w:t xml:space="preserve">Received: </w:t>
      </w:r>
      <w:r w:rsidR="00A61171">
        <w:rPr>
          <w:rFonts w:ascii="Times New Roman" w:hAnsi="Times New Roman"/>
          <w:b/>
          <w:sz w:val="24"/>
          <w:szCs w:val="24"/>
          <w:lang w:eastAsia="en-IN"/>
        </w:rPr>
        <w:t>15</w:t>
      </w:r>
      <w:r w:rsidRPr="00C058B7">
        <w:rPr>
          <w:rFonts w:ascii="Times New Roman" w:hAnsi="Times New Roman"/>
          <w:b/>
          <w:sz w:val="24"/>
          <w:szCs w:val="24"/>
          <w:lang w:eastAsia="en-IN"/>
        </w:rPr>
        <w:t xml:space="preserve"> </w:t>
      </w:r>
      <w:r w:rsidR="00A61171">
        <w:rPr>
          <w:rFonts w:ascii="Times New Roman" w:hAnsi="Times New Roman"/>
          <w:b/>
          <w:sz w:val="24"/>
          <w:szCs w:val="24"/>
          <w:lang w:eastAsia="en-IN"/>
        </w:rPr>
        <w:t>Sept</w:t>
      </w:r>
      <w:r w:rsidRPr="00C058B7">
        <w:rPr>
          <w:rFonts w:ascii="Times New Roman" w:hAnsi="Times New Roman"/>
          <w:b/>
          <w:sz w:val="24"/>
          <w:szCs w:val="24"/>
          <w:lang w:eastAsia="en-IN"/>
        </w:rPr>
        <w:t xml:space="preserve"> 2026; Accepted: </w:t>
      </w:r>
      <w:r w:rsidR="00A61171">
        <w:rPr>
          <w:rFonts w:ascii="Times New Roman" w:hAnsi="Times New Roman"/>
          <w:b/>
          <w:sz w:val="24"/>
          <w:szCs w:val="24"/>
          <w:lang w:eastAsia="en-IN"/>
        </w:rPr>
        <w:t>16</w:t>
      </w:r>
      <w:r w:rsidRPr="00C058B7">
        <w:rPr>
          <w:rFonts w:ascii="Times New Roman" w:hAnsi="Times New Roman"/>
          <w:b/>
          <w:sz w:val="24"/>
          <w:szCs w:val="24"/>
          <w:lang w:eastAsia="en-IN"/>
        </w:rPr>
        <w:t xml:space="preserve"> </w:t>
      </w:r>
      <w:r w:rsidR="00A61171">
        <w:rPr>
          <w:rFonts w:ascii="Times New Roman" w:hAnsi="Times New Roman"/>
          <w:b/>
          <w:sz w:val="24"/>
          <w:szCs w:val="24"/>
          <w:lang w:eastAsia="en-IN"/>
        </w:rPr>
        <w:t>Sept</w:t>
      </w:r>
      <w:r w:rsidRPr="00C058B7">
        <w:rPr>
          <w:rFonts w:ascii="Times New Roman" w:hAnsi="Times New Roman"/>
          <w:b/>
          <w:sz w:val="24"/>
          <w:szCs w:val="24"/>
          <w:lang w:eastAsia="en-IN"/>
        </w:rPr>
        <w:t xml:space="preserve"> 2026; Published: </w:t>
      </w:r>
      <w:r w:rsidR="00A61171">
        <w:rPr>
          <w:rFonts w:ascii="Times New Roman" w:hAnsi="Times New Roman"/>
          <w:b/>
          <w:sz w:val="24"/>
          <w:szCs w:val="24"/>
          <w:lang w:eastAsia="en-IN"/>
        </w:rPr>
        <w:t>22</w:t>
      </w:r>
      <w:r w:rsidRPr="00C058B7">
        <w:rPr>
          <w:rFonts w:ascii="Times New Roman" w:hAnsi="Times New Roman"/>
          <w:b/>
          <w:sz w:val="24"/>
          <w:szCs w:val="24"/>
          <w:lang w:eastAsia="en-IN"/>
        </w:rPr>
        <w:t xml:space="preserve"> </w:t>
      </w:r>
      <w:r w:rsidR="00A61171">
        <w:rPr>
          <w:rFonts w:ascii="Times New Roman" w:hAnsi="Times New Roman"/>
          <w:b/>
          <w:sz w:val="24"/>
          <w:szCs w:val="24"/>
          <w:lang w:eastAsia="en-IN"/>
        </w:rPr>
        <w:t>September</w:t>
      </w:r>
      <w:r w:rsidRPr="00C058B7">
        <w:rPr>
          <w:rFonts w:ascii="Times New Roman" w:hAnsi="Times New Roman"/>
          <w:b/>
          <w:sz w:val="24"/>
          <w:szCs w:val="24"/>
          <w:lang w:eastAsia="en-IN"/>
        </w:rPr>
        <w:t xml:space="preserve"> 2026</w:t>
      </w:r>
    </w:p>
    <w:p w14:paraId="04FA78AD"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8"/>
          <w:szCs w:val="24"/>
        </w:rPr>
        <w:t>ABSTRACT</w:t>
      </w:r>
    </w:p>
    <w:p w14:paraId="17F43F25"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4"/>
          <w:szCs w:val="24"/>
        </w:rPr>
        <w:t>Orientation</w:t>
      </w:r>
      <w:r w:rsidRPr="00C058B7">
        <w:rPr>
          <w:rFonts w:ascii="Times New Roman" w:eastAsia="Times New Roman" w:hAnsi="Times New Roman"/>
          <w:sz w:val="24"/>
          <w:szCs w:val="24"/>
        </w:rPr>
        <w:t>: Workers in electricity generation, transmission and distribution operate under conditions that the occupational health literature associates with elevated psychosocial risk, yet the psychological dimension of this work has received little attention in Southern Africa.</w:t>
      </w:r>
    </w:p>
    <w:p w14:paraId="10272E0F"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4"/>
          <w:szCs w:val="24"/>
        </w:rPr>
        <w:t>Research purpose:</w:t>
      </w:r>
      <w:r w:rsidRPr="00C058B7">
        <w:rPr>
          <w:rFonts w:ascii="Times New Roman" w:eastAsia="Times New Roman" w:hAnsi="Times New Roman"/>
          <w:sz w:val="24"/>
          <w:szCs w:val="24"/>
        </w:rPr>
        <w:t xml:space="preserve"> This review examines whether mental health literacy can presently be measured in Zimbabwe's energy-sector workforce, and specifies the conditions under which it could be.</w:t>
      </w:r>
    </w:p>
    <w:p w14:paraId="4A1EB118"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4"/>
          <w:szCs w:val="24"/>
        </w:rPr>
        <w:t>Motivation for the study:</w:t>
      </w:r>
      <w:r w:rsidRPr="00C058B7">
        <w:rPr>
          <w:rFonts w:ascii="Times New Roman" w:eastAsia="Times New Roman" w:hAnsi="Times New Roman"/>
          <w:sz w:val="24"/>
          <w:szCs w:val="24"/>
        </w:rPr>
        <w:t xml:space="preserve"> No study of mental health literacy among Zimbabwean energy-sector workers was located. Before prevalence can be estimated or interventions designed, it is necessary to establish whether available instruments measure what they claim to measure in this population.</w:t>
      </w:r>
    </w:p>
    <w:p w14:paraId="167CAFAD"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4"/>
          <w:szCs w:val="24"/>
        </w:rPr>
        <w:t>Research design, approach and method</w:t>
      </w:r>
      <w:r w:rsidRPr="00C058B7">
        <w:rPr>
          <w:rFonts w:ascii="Times New Roman" w:eastAsia="Times New Roman" w:hAnsi="Times New Roman"/>
          <w:sz w:val="24"/>
          <w:szCs w:val="24"/>
        </w:rPr>
        <w:t xml:space="preserve">: A conceptual and narrative review </w:t>
      </w:r>
      <w:proofErr w:type="spellStart"/>
      <w:r w:rsidRPr="00C058B7">
        <w:rPr>
          <w:rFonts w:ascii="Times New Roman" w:eastAsia="Times New Roman" w:hAnsi="Times New Roman"/>
          <w:sz w:val="24"/>
          <w:szCs w:val="24"/>
        </w:rPr>
        <w:t>synthesising</w:t>
      </w:r>
      <w:proofErr w:type="spellEnd"/>
      <w:r w:rsidRPr="00C058B7">
        <w:rPr>
          <w:rFonts w:ascii="Times New Roman" w:eastAsia="Times New Roman" w:hAnsi="Times New Roman"/>
          <w:sz w:val="24"/>
          <w:szCs w:val="24"/>
        </w:rPr>
        <w:t xml:space="preserve"> four adjacent literatures: the mental health literacy construct and its instrumentation; psychosocial risk in male-dominated industries; the Zimbabwean mental health system and its emic measurement tradition; and suicide literacy as a separable domain. Information sources, search strategy, eligibility criteria, screening and synthesis are reported.</w:t>
      </w:r>
    </w:p>
    <w:p w14:paraId="486C3E0A"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4"/>
          <w:szCs w:val="24"/>
        </w:rPr>
        <w:t>Main findings:</w:t>
      </w:r>
      <w:r w:rsidRPr="00C058B7">
        <w:rPr>
          <w:rFonts w:ascii="Times New Roman" w:eastAsia="Times New Roman" w:hAnsi="Times New Roman"/>
          <w:sz w:val="24"/>
          <w:szCs w:val="24"/>
        </w:rPr>
        <w:t xml:space="preserve"> The Mental Health Literacy Scale is well supported on internal consistency and structural validity, while content validity — the property that asks whether the items suit a given population — has been assessed in half the validation studies and rated of limited quality in those. In the only content validation conducted for this region, all 35 items met the relevance threshold when rated by professional research experts and ten did so when rated by frontline clinical workers. Item-level re-analysis shows that divergence concentrating where item content is anchored to a foreign context and where the relevance judgement is confounded with item response, rather than distributing as a general knowledge deficit would. The methodological precedent for emic instrument development already exists in Zimbabwe in the form of the Shona Symptom Questionnaire, and has not been extended to the literacy construct.</w:t>
      </w:r>
    </w:p>
    <w:p w14:paraId="7B94D654"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4"/>
          <w:szCs w:val="24"/>
        </w:rPr>
        <w:t>Practical/managerial implications</w:t>
      </w:r>
      <w:r w:rsidRPr="00C058B7">
        <w:rPr>
          <w:rFonts w:ascii="Times New Roman" w:eastAsia="Times New Roman" w:hAnsi="Times New Roman"/>
          <w:sz w:val="24"/>
          <w:szCs w:val="24"/>
        </w:rPr>
        <w:t>: Literacy provision without an established and credible disclosure route is unlikely to convert into help-seeking.</w:t>
      </w:r>
    </w:p>
    <w:p w14:paraId="17EF4669"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4"/>
          <w:szCs w:val="24"/>
        </w:rPr>
        <w:t>Contribution/value-add</w:t>
      </w:r>
      <w:r w:rsidRPr="00C058B7">
        <w:rPr>
          <w:rFonts w:ascii="Times New Roman" w:eastAsia="Times New Roman" w:hAnsi="Times New Roman"/>
          <w:sz w:val="24"/>
          <w:szCs w:val="24"/>
        </w:rPr>
        <w:t>: The review reframes an awareness question as a measurement question and sets out a sequenced research agenda.</w:t>
      </w:r>
    </w:p>
    <w:p w14:paraId="516CE137"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sz w:val="24"/>
          <w:szCs w:val="24"/>
        </w:rPr>
        <w:t>Keywords:</w:t>
      </w:r>
      <w:r w:rsidRPr="00C058B7">
        <w:rPr>
          <w:rFonts w:ascii="Times New Roman" w:eastAsia="Times New Roman" w:hAnsi="Times New Roman"/>
          <w:sz w:val="24"/>
          <w:szCs w:val="24"/>
        </w:rPr>
        <w:t xml:space="preserve"> </w:t>
      </w:r>
      <w:r w:rsidRPr="00C058B7">
        <w:rPr>
          <w:rFonts w:ascii="Times New Roman" w:eastAsia="Times New Roman" w:hAnsi="Times New Roman"/>
          <w:iCs/>
          <w:sz w:val="24"/>
          <w:szCs w:val="24"/>
        </w:rPr>
        <w:t>mental health literacy; occupational mental health; energy sector; Zimbabwe; measurement validity; cultural concepts of distress; suicide literacy</w:t>
      </w:r>
      <w:r w:rsidRPr="00C058B7">
        <w:rPr>
          <w:rFonts w:ascii="Times New Roman" w:eastAsia="Times New Roman" w:hAnsi="Times New Roman"/>
          <w:sz w:val="24"/>
          <w:szCs w:val="24"/>
        </w:rPr>
        <w:t>.</w:t>
      </w:r>
    </w:p>
    <w:p w14:paraId="5908E83A" w14:textId="77777777" w:rsidR="00C058B7" w:rsidRDefault="00C058B7" w:rsidP="00C058B7">
      <w:pPr>
        <w:spacing w:after="240" w:line="240" w:lineRule="auto"/>
        <w:jc w:val="both"/>
        <w:rPr>
          <w:rFonts w:ascii="Times New Roman" w:eastAsia="Times New Roman" w:hAnsi="Times New Roman"/>
          <w:b/>
          <w:bCs/>
          <w:sz w:val="28"/>
          <w:szCs w:val="24"/>
        </w:rPr>
      </w:pPr>
      <w:r w:rsidRPr="00C058B7">
        <w:rPr>
          <w:rFonts w:ascii="Times New Roman" w:eastAsia="Times New Roman" w:hAnsi="Times New Roman"/>
          <w:b/>
          <w:bCs/>
          <w:sz w:val="28"/>
          <w:szCs w:val="24"/>
        </w:rPr>
        <w:t>INTRODUCTION</w:t>
      </w:r>
    </w:p>
    <w:p w14:paraId="45C1CC77" w14:textId="77777777" w:rsidR="00C058B7" w:rsidRPr="00C058B7" w:rsidRDefault="00C058B7" w:rsidP="00C058B7">
      <w:pPr>
        <w:spacing w:after="240" w:line="240" w:lineRule="auto"/>
        <w:jc w:val="both"/>
        <w:rPr>
          <w:rFonts w:ascii="Times New Roman" w:eastAsia="Times New Roman" w:hAnsi="Times New Roman"/>
          <w:b/>
          <w:bCs/>
          <w:sz w:val="28"/>
          <w:szCs w:val="24"/>
        </w:rPr>
      </w:pPr>
      <w:r w:rsidRPr="00C058B7">
        <w:rPr>
          <w:rFonts w:ascii="Times New Roman" w:eastAsia="Times New Roman" w:hAnsi="Times New Roman"/>
          <w:sz w:val="24"/>
          <w:szCs w:val="24"/>
        </w:rPr>
        <w:t>Electricity generation, transmission and distribution in Zimbabwe is performed by a workforce that</w:t>
      </w: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occupatio</w:t>
      </w:r>
      <w:proofErr w:type="spellEnd"/>
      <w:r>
        <w:rPr>
          <w:rFonts w:ascii="Times New Roman" w:eastAsia="Times New Roman" w:hAnsi="Times New Roman"/>
          <w:sz w:val="24"/>
          <w:szCs w:val="24"/>
        </w:rPr>
        <w:t>-</w:t>
      </w:r>
    </w:p>
    <w:p w14:paraId="36CDD170" w14:textId="77777777" w:rsidR="00C058B7" w:rsidRPr="00C058B7" w:rsidRDefault="00C058B7" w:rsidP="00C058B7">
      <w:pPr>
        <w:spacing w:after="240" w:line="240" w:lineRule="auto"/>
        <w:jc w:val="both"/>
        <w:rPr>
          <w:rFonts w:ascii="Times New Roman" w:hAnsi="Times New Roman"/>
          <w:sz w:val="24"/>
          <w:szCs w:val="24"/>
        </w:rPr>
      </w:pPr>
      <w:proofErr w:type="spellStart"/>
      <w:r>
        <w:rPr>
          <w:rFonts w:ascii="Times New Roman" w:eastAsia="Times New Roman" w:hAnsi="Times New Roman"/>
          <w:sz w:val="24"/>
          <w:szCs w:val="24"/>
        </w:rPr>
        <w:lastRenderedPageBreak/>
        <w:t>n</w:t>
      </w:r>
      <w:r w:rsidRPr="00C058B7">
        <w:rPr>
          <w:rFonts w:ascii="Times New Roman" w:eastAsia="Times New Roman" w:hAnsi="Times New Roman"/>
          <w:sz w:val="24"/>
          <w:szCs w:val="24"/>
        </w:rPr>
        <w:t>al</w:t>
      </w:r>
      <w:proofErr w:type="spellEnd"/>
      <w:r w:rsidRPr="00C058B7">
        <w:rPr>
          <w:rFonts w:ascii="Times New Roman" w:eastAsia="Times New Roman" w:hAnsi="Times New Roman"/>
          <w:sz w:val="24"/>
          <w:szCs w:val="24"/>
        </w:rPr>
        <w:t xml:space="preserve"> health scholarship has almost entirely overlooked in psychological terms. Linespersons, plant operators, substation technicians and control-room staff work under conditions that the occupational literature elsewhere treats as archetypally hazardous: sustained vigilance around </w:t>
      </w:r>
      <w:proofErr w:type="spellStart"/>
      <w:r w:rsidRPr="00C058B7">
        <w:rPr>
          <w:rFonts w:ascii="Times New Roman" w:eastAsia="Times New Roman" w:hAnsi="Times New Roman"/>
          <w:sz w:val="24"/>
          <w:szCs w:val="24"/>
        </w:rPr>
        <w:t>energised</w:t>
      </w:r>
      <w:proofErr w:type="spellEnd"/>
      <w:r w:rsidRPr="00C058B7">
        <w:rPr>
          <w:rFonts w:ascii="Times New Roman" w:eastAsia="Times New Roman" w:hAnsi="Times New Roman"/>
          <w:sz w:val="24"/>
          <w:szCs w:val="24"/>
        </w:rPr>
        <w:t xml:space="preserve"> equipment, shift and standby rotations that disrupt sleep and family life, dispersed and often solitary deployment across depots and rural feeders, and the compressed, high-pressure work of fault restoration. Where these conditions have been studied, they have been studied as physical risks. Arc flash, fall arrest, switching discipline and permit-to-work systems are the substance of safety, health and environment provision in the sector, and the psychological dimension of the same work has received no comparable attention.</w:t>
      </w:r>
    </w:p>
    <w:p w14:paraId="10E89839"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This is not a gap peculiar to Zimbabwe. A scoping review of workplace-based mental health interventions across the African continent reports that little is known about mental health interventions in African workplaces, and that no prior review was found focusing specifically on low- and middle-income countries or the African continent (Hoosain et al., 2023). The systematic literature on male-dominated industries — which groups utilities with agriculture, construction, mining, manufacturing and transport — has identified a consistent cluster of psychosocial risk factors for depression and anxiety, but that literature is overwhelmingly Australian, North American and European in origin (</w:t>
      </w:r>
      <w:proofErr w:type="spellStart"/>
      <w:r w:rsidRPr="00C058B7">
        <w:rPr>
          <w:rFonts w:ascii="Times New Roman" w:eastAsia="Times New Roman" w:hAnsi="Times New Roman"/>
          <w:sz w:val="24"/>
          <w:szCs w:val="24"/>
        </w:rPr>
        <w:t>Battams</w:t>
      </w:r>
      <w:proofErr w:type="spellEnd"/>
      <w:r w:rsidRPr="00C058B7">
        <w:rPr>
          <w:rFonts w:ascii="Times New Roman" w:eastAsia="Times New Roman" w:hAnsi="Times New Roman"/>
          <w:sz w:val="24"/>
          <w:szCs w:val="24"/>
        </w:rPr>
        <w:t xml:space="preserve"> et al., 2014). Its applicability to a Southern African utility workforce is assumed rather than demonstrated.</w:t>
      </w:r>
    </w:p>
    <w:p w14:paraId="462470B7"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The present review is concerned with a prior question. Before prevalence can be estimated or interventions designed, it is necessary to know whether the workers concerned can </w:t>
      </w:r>
      <w:proofErr w:type="spellStart"/>
      <w:r w:rsidRPr="00C058B7">
        <w:rPr>
          <w:rFonts w:ascii="Times New Roman" w:eastAsia="Times New Roman" w:hAnsi="Times New Roman"/>
          <w:sz w:val="24"/>
          <w:szCs w:val="24"/>
        </w:rPr>
        <w:t>recognise</w:t>
      </w:r>
      <w:proofErr w:type="spellEnd"/>
      <w:r w:rsidRPr="00C058B7">
        <w:rPr>
          <w:rFonts w:ascii="Times New Roman" w:eastAsia="Times New Roman" w:hAnsi="Times New Roman"/>
          <w:sz w:val="24"/>
          <w:szCs w:val="24"/>
        </w:rPr>
        <w:t xml:space="preserve"> psychological distress as such, whether they know what may be done about it, and whether the instruments available to researchers can measure those things in this population. That set of questions belongs to the construct of mental health literacy.</w:t>
      </w:r>
    </w:p>
    <w:p w14:paraId="7F04E42F"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Mental health literacy was introduced by </w:t>
      </w:r>
      <w:proofErr w:type="spellStart"/>
      <w:r w:rsidRPr="00C058B7">
        <w:rPr>
          <w:rFonts w:ascii="Times New Roman" w:eastAsia="Times New Roman" w:hAnsi="Times New Roman"/>
          <w:sz w:val="24"/>
          <w:szCs w:val="24"/>
        </w:rPr>
        <w:t>Jorm</w:t>
      </w:r>
      <w:proofErr w:type="spellEnd"/>
      <w:r w:rsidRPr="00C058B7">
        <w:rPr>
          <w:rFonts w:ascii="Times New Roman" w:eastAsia="Times New Roman" w:hAnsi="Times New Roman"/>
          <w:sz w:val="24"/>
          <w:szCs w:val="24"/>
        </w:rPr>
        <w:t xml:space="preserve"> and colleagues to describe knowledge and beliefs about mental disorders that aid their recognition, management or prevention (</w:t>
      </w:r>
      <w:proofErr w:type="spellStart"/>
      <w:r w:rsidRPr="00C058B7">
        <w:rPr>
          <w:rFonts w:ascii="Times New Roman" w:eastAsia="Times New Roman" w:hAnsi="Times New Roman"/>
          <w:sz w:val="24"/>
          <w:szCs w:val="24"/>
        </w:rPr>
        <w:t>Jorm</w:t>
      </w:r>
      <w:proofErr w:type="spellEnd"/>
      <w:r w:rsidRPr="00C058B7">
        <w:rPr>
          <w:rFonts w:ascii="Times New Roman" w:eastAsia="Times New Roman" w:hAnsi="Times New Roman"/>
          <w:sz w:val="24"/>
          <w:szCs w:val="24"/>
        </w:rPr>
        <w:t xml:space="preserve"> et al., 1997; </w:t>
      </w:r>
      <w:proofErr w:type="spellStart"/>
      <w:r w:rsidRPr="00C058B7">
        <w:rPr>
          <w:rFonts w:ascii="Times New Roman" w:eastAsia="Times New Roman" w:hAnsi="Times New Roman"/>
          <w:sz w:val="24"/>
          <w:szCs w:val="24"/>
        </w:rPr>
        <w:t>Jorm</w:t>
      </w:r>
      <w:proofErr w:type="spellEnd"/>
      <w:r w:rsidRPr="00C058B7">
        <w:rPr>
          <w:rFonts w:ascii="Times New Roman" w:eastAsia="Times New Roman" w:hAnsi="Times New Roman"/>
          <w:sz w:val="24"/>
          <w:szCs w:val="24"/>
        </w:rPr>
        <w:t xml:space="preserve">, 2000). Its empirical foundation was a national Australian survey of 2,031 adults in which most respondents </w:t>
      </w:r>
      <w:proofErr w:type="spellStart"/>
      <w:r w:rsidRPr="00C058B7">
        <w:rPr>
          <w:rFonts w:ascii="Times New Roman" w:eastAsia="Times New Roman" w:hAnsi="Times New Roman"/>
          <w:sz w:val="24"/>
          <w:szCs w:val="24"/>
        </w:rPr>
        <w:t>recognised</w:t>
      </w:r>
      <w:proofErr w:type="spellEnd"/>
      <w:r w:rsidRPr="00C058B7">
        <w:rPr>
          <w:rFonts w:ascii="Times New Roman" w:eastAsia="Times New Roman" w:hAnsi="Times New Roman"/>
          <w:sz w:val="24"/>
          <w:szCs w:val="24"/>
        </w:rPr>
        <w:t xml:space="preserve"> that something was wrong in a clinical vignette but comparatively few applied the correct label — 39% for depression and 27% for schizophrenia (</w:t>
      </w:r>
      <w:proofErr w:type="spellStart"/>
      <w:r w:rsidRPr="00C058B7">
        <w:rPr>
          <w:rFonts w:ascii="Times New Roman" w:eastAsia="Times New Roman" w:hAnsi="Times New Roman"/>
          <w:sz w:val="24"/>
          <w:szCs w:val="24"/>
        </w:rPr>
        <w:t>Jorm</w:t>
      </w:r>
      <w:proofErr w:type="spellEnd"/>
      <w:r w:rsidRPr="00C058B7">
        <w:rPr>
          <w:rFonts w:ascii="Times New Roman" w:eastAsia="Times New Roman" w:hAnsi="Times New Roman"/>
          <w:sz w:val="24"/>
          <w:szCs w:val="24"/>
        </w:rPr>
        <w:t xml:space="preserve"> et al., 1997). The construct has since generated a substantial intervention literature and a dedicated instrument, the Mental Health Literacy Scale (O'Connor &amp; Casey, 2015), and has been applied in sub-Saharan African workforces, most directly in a cross-sectional survey of 250 primary health care workers across five provinces of South Africa and Zambia (Korhonen, </w:t>
      </w:r>
      <w:proofErr w:type="spellStart"/>
      <w:r w:rsidRPr="00C058B7">
        <w:rPr>
          <w:rFonts w:ascii="Times New Roman" w:eastAsia="Times New Roman" w:hAnsi="Times New Roman"/>
          <w:sz w:val="24"/>
          <w:szCs w:val="24"/>
        </w:rPr>
        <w:t>Axelin</w:t>
      </w:r>
      <w:proofErr w:type="spellEnd"/>
      <w:r w:rsidRPr="00C058B7">
        <w:rPr>
          <w:rFonts w:ascii="Times New Roman" w:eastAsia="Times New Roman" w:hAnsi="Times New Roman"/>
          <w:sz w:val="24"/>
          <w:szCs w:val="24"/>
        </w:rPr>
        <w:t>, Stein, et al., 2022).</w:t>
      </w:r>
    </w:p>
    <w:p w14:paraId="79B2D8C1"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Two features of the Zimbabwean context give the construct particular purchase. The first is the structure of provision. The national response to a substantial treatment gap has been built on task-shifting to trained and supervised lay health workers rather than on specialist expansion (Chibanda et al., 2015, 2016). Where care is delivered by non-specialists at primary care level and entered largely by self-presentation, the burden of recognition falls on the person experiencing distress and on those around them. That is the condition under which mental health literacy ceases to be an abstraction and becomes the rate-limiting step.</w:t>
      </w:r>
    </w:p>
    <w:p w14:paraId="5D3263B7"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The second is linguistic and conceptual. Psychological distress in Zimbabwe has long been articulated through the Shona concept of </w:t>
      </w:r>
      <w:proofErr w:type="spellStart"/>
      <w:r w:rsidRPr="00C058B7">
        <w:rPr>
          <w:rFonts w:ascii="Times New Roman" w:eastAsia="Times New Roman" w:hAnsi="Times New Roman"/>
          <w:sz w:val="24"/>
          <w:szCs w:val="24"/>
        </w:rPr>
        <w:t>kufungisisa</w:t>
      </w:r>
      <w:proofErr w:type="spellEnd"/>
      <w:r w:rsidRPr="00C058B7">
        <w:rPr>
          <w:rFonts w:ascii="Times New Roman" w:eastAsia="Times New Roman" w:hAnsi="Times New Roman"/>
          <w:sz w:val="24"/>
          <w:szCs w:val="24"/>
        </w:rPr>
        <w:t>, thinking too much, which functions as both a cause and a symptom of illness and is understood by patients and care providers alike as relating to mental, social and spiritual distress (Patel et al., 1995). Its significance for measurement lies in a detail that is frequently lost in secondary citation: the concept is strongly related to biomedical constructs of non-psychotic mental illness but is not specifically related either to depression or to anxiety, its authors proposing that its nearest conceptual equivalent is feeling stressed, or in psychiatric terms a non-specific neurotic illness (Patel et al., 1995). The instrument that underpins Zimbabwean common mental disorder research was accordingly built by eliciting Shona idioms of distress rather than by translating a biomedical checklist (Patel et al., 1997). The implications of that divergence for measurement are the substance of this review.</w:t>
      </w:r>
    </w:p>
    <w:p w14:paraId="71284A34"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A third consideration bears on scope. Depression and anxiety disorders are conventionally treated together as common mental disorders, and the literacy literature has largely followed that convention. Self-harm and suicidal </w:t>
      </w:r>
      <w:proofErr w:type="spellStart"/>
      <w:r w:rsidRPr="00C058B7">
        <w:rPr>
          <w:rFonts w:ascii="Times New Roman" w:eastAsia="Times New Roman" w:hAnsi="Times New Roman"/>
          <w:sz w:val="24"/>
          <w:szCs w:val="24"/>
        </w:rPr>
        <w:t>behaviour</w:t>
      </w:r>
      <w:proofErr w:type="spellEnd"/>
      <w:r w:rsidRPr="00C058B7">
        <w:rPr>
          <w:rFonts w:ascii="Times New Roman" w:eastAsia="Times New Roman" w:hAnsi="Times New Roman"/>
          <w:sz w:val="24"/>
          <w:szCs w:val="24"/>
        </w:rPr>
        <w:t xml:space="preserve"> sit differently. They carry distinct stigma, are subject to different disclosure dynamics in </w:t>
      </w:r>
      <w:r w:rsidRPr="00C058B7">
        <w:rPr>
          <w:rFonts w:ascii="Times New Roman" w:eastAsia="Times New Roman" w:hAnsi="Times New Roman"/>
          <w:sz w:val="24"/>
          <w:szCs w:val="24"/>
        </w:rPr>
        <w:lastRenderedPageBreak/>
        <w:t>workplace settings, and raise safeguarding obligations that recognition of depression does not. This review therefore treats literacy concerning self-harm and suicidality as a distinct domain.</w:t>
      </w:r>
    </w:p>
    <w:p w14:paraId="31B3AE38"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The review has three aims: to establish why the energy sector warrants attention as a psychosocial risk environment, making the grounds of transfer to a Zimbabwean setting explicit rather than assumed; to examine whether existing mental health literacy instrumentation can be applied to this workforce, and on what conditions; and to set out what a defensible study of occupational mental health literacy in Zimbabwe's energy sector would require. The contribution is methodological rather than empirical.</w:t>
      </w:r>
    </w:p>
    <w:p w14:paraId="552F6199" w14:textId="77777777" w:rsidR="00C058B7" w:rsidRPr="00C058B7" w:rsidRDefault="00C058B7" w:rsidP="00C058B7">
      <w:pPr>
        <w:spacing w:after="240" w:line="240" w:lineRule="auto"/>
        <w:jc w:val="both"/>
        <w:rPr>
          <w:rFonts w:ascii="Times New Roman" w:hAnsi="Times New Roman"/>
          <w:sz w:val="28"/>
          <w:szCs w:val="24"/>
        </w:rPr>
      </w:pPr>
      <w:r w:rsidRPr="00C058B7">
        <w:rPr>
          <w:rFonts w:ascii="Times New Roman" w:eastAsia="Times New Roman" w:hAnsi="Times New Roman"/>
          <w:b/>
          <w:bCs/>
          <w:sz w:val="28"/>
          <w:szCs w:val="24"/>
        </w:rPr>
        <w:t>REVIEW METHODOLOGY</w:t>
      </w:r>
    </w:p>
    <w:p w14:paraId="15C020D2"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This is a conceptual and narrative review. It does not follow PRISMA procedures and makes no claim to exhaustive retrieval. It does, however, report the procedure by which its sources were identified, screened and combined, on the principle that a narrative review’s claims — and in this case its several claims about what does not exist — cannot be assessed unless the reader knows how the literature was searched.</w:t>
      </w:r>
    </w:p>
    <w:p w14:paraId="06B7E3E5"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Information sources. Records were identified through web-based searching and through direct retrieval of full texts from publisher platforms, PubMed Central and institutional repositories. The records inspected were predominantly indexed in PubMed or PubMed Central, with further records from Taylor &amp; Francis, Wiley, Cambridge University Press, Elsevier, Springer, Hogrefe and AOSIS platforms, and from university repositories. Reference lists of retrieved articles were screened for further sources. Searches were conducted in English and were completed in September 2026. No subscription database interface was queried directly, and retrieval counts of the kind reported in systematic reviews are accordingly not available; this is stated as a limitation rather than presented as an equivalent procedure.</w:t>
      </w:r>
    </w:p>
    <w:p w14:paraId="57AE863B"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Search strategy. Searching was </w:t>
      </w:r>
      <w:proofErr w:type="spellStart"/>
      <w:r w:rsidRPr="00C058B7">
        <w:rPr>
          <w:rFonts w:ascii="Times New Roman" w:eastAsia="Times New Roman" w:hAnsi="Times New Roman"/>
          <w:sz w:val="24"/>
          <w:szCs w:val="24"/>
        </w:rPr>
        <w:t>organised</w:t>
      </w:r>
      <w:proofErr w:type="spellEnd"/>
      <w:r w:rsidRPr="00C058B7">
        <w:rPr>
          <w:rFonts w:ascii="Times New Roman" w:eastAsia="Times New Roman" w:hAnsi="Times New Roman"/>
          <w:sz w:val="24"/>
          <w:szCs w:val="24"/>
        </w:rPr>
        <w:t xml:space="preserve"> around the four literature streams </w:t>
      </w:r>
      <w:proofErr w:type="spellStart"/>
      <w:r w:rsidRPr="00C058B7">
        <w:rPr>
          <w:rFonts w:ascii="Times New Roman" w:eastAsia="Times New Roman" w:hAnsi="Times New Roman"/>
          <w:sz w:val="24"/>
          <w:szCs w:val="24"/>
        </w:rPr>
        <w:t>synthesised</w:t>
      </w:r>
      <w:proofErr w:type="spellEnd"/>
      <w:r w:rsidRPr="00C058B7">
        <w:rPr>
          <w:rFonts w:ascii="Times New Roman" w:eastAsia="Times New Roman" w:hAnsi="Times New Roman"/>
          <w:sz w:val="24"/>
          <w:szCs w:val="24"/>
        </w:rPr>
        <w:t xml:space="preserve"> here and proceeded iteratively, with terms revised as the yield of each query was inspected. For the mental health literacy construct and its instrumentation, terms combined the instrument name and its abbreviation with measurement properties, validation, systematic review and COSMIN. For psychosocial risk in male-dominated industries, terms combined the sector and its constituent occupations with mental health, psychosocial risk, anxiety, depression and workplace intervention. For the Zimbabwean context, terms combined the country and the region with mental health literacy, the named instruments, task-shifting and cultural concepts of distress. For suicide literacy, terms combined the instrument name with validation, Africa and sub-Saharan Africa. A full log of query strings, records inspected and screening outcomes is retained and is available as supplementary material.</w:t>
      </w:r>
    </w:p>
    <w:p w14:paraId="5D606E8E"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Eligibility criteria. Records were retained where they reported the development, translation, adaptation or psychometric evaluation of a mental health literacy or suicide literacy instrument; or reported psychosocial risk, mental health outcomes or mental health interventions in an industrial, utility or male-dominated workforce; or concerned mental health services, measurement or cultural concepts of distress in Zimbabwe or a comparable Southern African setting; or were an authoritative guidance document bearing on workplace mental health. Records were excluded where they were commercial, promotional or association material without a stated method; where mental health literacy appeared only as a secondary outcome with no psychometric information; or where population and setting bore no defensible relation to the questions of the review. Searches for energy-sector mental health returned predominantly grey and commercial material, which was excluded on these criteria but is itself informative about the state of the evidence base.</w:t>
      </w:r>
    </w:p>
    <w:p w14:paraId="577E37B8"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Screening. Titles and abstracts were screened in a single pass, with full texts retrieved for records bearing directly on an instrument’s measurement properties, on a Zimbabwean or Southern African population, or on a claim of absence made in this review. Screening was conducted by one reviewer; there was no independent duplicate screening.</w:t>
      </w:r>
    </w:p>
    <w:p w14:paraId="202C6A88"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Synthesis. The four streams are not pooled, which their heterogeneity would not support, and no meta-analytic procedure was applied. They are </w:t>
      </w:r>
      <w:proofErr w:type="spellStart"/>
      <w:r w:rsidRPr="00C058B7">
        <w:rPr>
          <w:rFonts w:ascii="Times New Roman" w:eastAsia="Times New Roman" w:hAnsi="Times New Roman"/>
          <w:sz w:val="24"/>
          <w:szCs w:val="24"/>
        </w:rPr>
        <w:t>synthesised</w:t>
      </w:r>
      <w:proofErr w:type="spellEnd"/>
      <w:r w:rsidRPr="00C058B7">
        <w:rPr>
          <w:rFonts w:ascii="Times New Roman" w:eastAsia="Times New Roman" w:hAnsi="Times New Roman"/>
          <w:sz w:val="24"/>
          <w:szCs w:val="24"/>
        </w:rPr>
        <w:t xml:space="preserve"> argumentatively and in a fixed order, each stream establishing a premise that the next constrains. The sectoral literature establishes that this workforce belongs to an </w:t>
      </w:r>
      <w:r w:rsidRPr="00C058B7">
        <w:rPr>
          <w:rFonts w:ascii="Times New Roman" w:eastAsia="Times New Roman" w:hAnsi="Times New Roman"/>
          <w:sz w:val="24"/>
          <w:szCs w:val="24"/>
        </w:rPr>
        <w:lastRenderedPageBreak/>
        <w:t xml:space="preserve">occupational category with documented psychosocial risk. The Zimbabwean literature establishes both that recognition carries particular weight in a task-shifted system entered by self-presentation, and that the local conceptual vocabulary for distress is </w:t>
      </w:r>
      <w:proofErr w:type="spellStart"/>
      <w:r w:rsidRPr="00C058B7">
        <w:rPr>
          <w:rFonts w:ascii="Times New Roman" w:eastAsia="Times New Roman" w:hAnsi="Times New Roman"/>
          <w:sz w:val="24"/>
          <w:szCs w:val="24"/>
        </w:rPr>
        <w:t>organised</w:t>
      </w:r>
      <w:proofErr w:type="spellEnd"/>
      <w:r w:rsidRPr="00C058B7">
        <w:rPr>
          <w:rFonts w:ascii="Times New Roman" w:eastAsia="Times New Roman" w:hAnsi="Times New Roman"/>
          <w:sz w:val="24"/>
          <w:szCs w:val="24"/>
        </w:rPr>
        <w:t xml:space="preserve"> differently from the </w:t>
      </w:r>
      <w:proofErr w:type="spellStart"/>
      <w:r w:rsidRPr="00C058B7">
        <w:rPr>
          <w:rFonts w:ascii="Times New Roman" w:eastAsia="Times New Roman" w:hAnsi="Times New Roman"/>
          <w:sz w:val="24"/>
          <w:szCs w:val="24"/>
        </w:rPr>
        <w:t>nosological</w:t>
      </w:r>
      <w:proofErr w:type="spellEnd"/>
      <w:r w:rsidRPr="00C058B7">
        <w:rPr>
          <w:rFonts w:ascii="Times New Roman" w:eastAsia="Times New Roman" w:hAnsi="Times New Roman"/>
          <w:sz w:val="24"/>
          <w:szCs w:val="24"/>
        </w:rPr>
        <w:t xml:space="preserve"> vocabulary. The instrumentation literature is then read against those two to ask whether the construct can presently be measured in this population. Suicide literacy is treated throughout as a separate domain rather than folded into the first stream, on the grounds set out below. Where the streams conflict, the conflict is reported rather than resolved by preference; where a claim rests on a single source, that is stated; and where no source was located, the absence is reported as an absence of located evidence rather than as evidence of absence.</w:t>
      </w:r>
    </w:p>
    <w:p w14:paraId="62FFB154" w14:textId="77777777" w:rsidR="00C058B7" w:rsidRPr="00C058B7" w:rsidRDefault="00C058B7" w:rsidP="00C058B7">
      <w:pPr>
        <w:spacing w:after="240" w:line="240" w:lineRule="auto"/>
        <w:jc w:val="both"/>
        <w:rPr>
          <w:rFonts w:ascii="Times New Roman" w:hAnsi="Times New Roman"/>
          <w:sz w:val="24"/>
          <w:szCs w:val="24"/>
        </w:rPr>
      </w:pPr>
      <w:proofErr w:type="spellStart"/>
      <w:r w:rsidRPr="00C058B7">
        <w:rPr>
          <w:rFonts w:ascii="Times New Roman" w:eastAsia="Times New Roman" w:hAnsi="Times New Roman"/>
          <w:b/>
          <w:bCs/>
          <w:sz w:val="24"/>
          <w:szCs w:val="24"/>
        </w:rPr>
        <w:t>Conceptualising</w:t>
      </w:r>
      <w:proofErr w:type="spellEnd"/>
      <w:r w:rsidRPr="00C058B7">
        <w:rPr>
          <w:rFonts w:ascii="Times New Roman" w:eastAsia="Times New Roman" w:hAnsi="Times New Roman"/>
          <w:b/>
          <w:bCs/>
          <w:sz w:val="24"/>
          <w:szCs w:val="24"/>
        </w:rPr>
        <w:t xml:space="preserve"> mental health literacy</w:t>
      </w:r>
    </w:p>
    <w:p w14:paraId="0642E020"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Mental health literacy entered the literature as a deliberate analogy. </w:t>
      </w:r>
      <w:proofErr w:type="spellStart"/>
      <w:r w:rsidRPr="00C058B7">
        <w:rPr>
          <w:rFonts w:ascii="Times New Roman" w:eastAsia="Times New Roman" w:hAnsi="Times New Roman"/>
          <w:sz w:val="24"/>
          <w:szCs w:val="24"/>
        </w:rPr>
        <w:t>Jorm</w:t>
      </w:r>
      <w:proofErr w:type="spellEnd"/>
      <w:r w:rsidRPr="00C058B7">
        <w:rPr>
          <w:rFonts w:ascii="Times New Roman" w:eastAsia="Times New Roman" w:hAnsi="Times New Roman"/>
          <w:sz w:val="24"/>
          <w:szCs w:val="24"/>
        </w:rPr>
        <w:t xml:space="preserve"> and colleagues observed that public knowledge of physical disease was treated as self-evidently valuable while equivalent knowledge of mental disorders had attracted little attention, and proposed mental health literacy to denote knowledge and beliefs about mental disorders that aid their recognition, management or prevention (</w:t>
      </w:r>
      <w:proofErr w:type="spellStart"/>
      <w:r w:rsidRPr="00C058B7">
        <w:rPr>
          <w:rFonts w:ascii="Times New Roman" w:eastAsia="Times New Roman" w:hAnsi="Times New Roman"/>
          <w:sz w:val="24"/>
          <w:szCs w:val="24"/>
        </w:rPr>
        <w:t>Jorm</w:t>
      </w:r>
      <w:proofErr w:type="spellEnd"/>
      <w:r w:rsidRPr="00C058B7">
        <w:rPr>
          <w:rFonts w:ascii="Times New Roman" w:eastAsia="Times New Roman" w:hAnsi="Times New Roman"/>
          <w:sz w:val="24"/>
          <w:szCs w:val="24"/>
        </w:rPr>
        <w:t xml:space="preserve"> et al., 1997; </w:t>
      </w:r>
      <w:proofErr w:type="spellStart"/>
      <w:r w:rsidRPr="00C058B7">
        <w:rPr>
          <w:rFonts w:ascii="Times New Roman" w:eastAsia="Times New Roman" w:hAnsi="Times New Roman"/>
          <w:sz w:val="24"/>
          <w:szCs w:val="24"/>
        </w:rPr>
        <w:t>Jorm</w:t>
      </w:r>
      <w:proofErr w:type="spellEnd"/>
      <w:r w:rsidRPr="00C058B7">
        <w:rPr>
          <w:rFonts w:ascii="Times New Roman" w:eastAsia="Times New Roman" w:hAnsi="Times New Roman"/>
          <w:sz w:val="24"/>
          <w:szCs w:val="24"/>
        </w:rPr>
        <w:t xml:space="preserve">, 2000). The construct was </w:t>
      </w:r>
      <w:proofErr w:type="spellStart"/>
      <w:r w:rsidRPr="00C058B7">
        <w:rPr>
          <w:rFonts w:ascii="Times New Roman" w:eastAsia="Times New Roman" w:hAnsi="Times New Roman"/>
          <w:sz w:val="24"/>
          <w:szCs w:val="24"/>
        </w:rPr>
        <w:t>operationalised</w:t>
      </w:r>
      <w:proofErr w:type="spellEnd"/>
      <w:r w:rsidRPr="00C058B7">
        <w:rPr>
          <w:rFonts w:ascii="Times New Roman" w:eastAsia="Times New Roman" w:hAnsi="Times New Roman"/>
          <w:sz w:val="24"/>
          <w:szCs w:val="24"/>
        </w:rPr>
        <w:t xml:space="preserve"> through vignettes: respondents were presented with a case description meeting diagnostic criteria and asked what, if anything, was wrong.</w:t>
      </w:r>
    </w:p>
    <w:p w14:paraId="4E9CE1B9"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The construct has broadened considerably since. In its most cited later formulation, mental health literacy comprises five components: knowledge of how to prevent mental disorders, recognition of a disorder as it develops, knowledge of help-seeking options and available treatments, knowledge of effective self-help strategies for milder problems, and first aid skills to support others affected by mental health problems (</w:t>
      </w:r>
      <w:proofErr w:type="spellStart"/>
      <w:r w:rsidRPr="00C058B7">
        <w:rPr>
          <w:rFonts w:ascii="Times New Roman" w:eastAsia="Times New Roman" w:hAnsi="Times New Roman"/>
          <w:sz w:val="24"/>
          <w:szCs w:val="24"/>
        </w:rPr>
        <w:t>Jorm</w:t>
      </w:r>
      <w:proofErr w:type="spellEnd"/>
      <w:r w:rsidRPr="00C058B7">
        <w:rPr>
          <w:rFonts w:ascii="Times New Roman" w:eastAsia="Times New Roman" w:hAnsi="Times New Roman"/>
          <w:sz w:val="24"/>
          <w:szCs w:val="24"/>
        </w:rPr>
        <w:t>, 2012). The last of these is significant for occupational settings and is routinely neglected in workplace applications. It relocates literacy from the individual's knowledge about their own condition to a distributed capacity within a group — what a supervisor notices, what a crew member says to a colleague on a long shift, whether anyone knows what to do next.</w:t>
      </w:r>
    </w:p>
    <w:p w14:paraId="738C5597"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Breadth has come at a cost in precision. The concept has been defined in various ways across the literature, blurring its boundaries with adjacent constructs, and its components have been argued to require tailoring to the context of implementation and the characteristics of the population rather than uniform application (Kutcher et al., 2016).</w:t>
      </w:r>
    </w:p>
    <w:p w14:paraId="69BC6475"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The Mental Health Literacy Scale was developed in response to the measurement side of this problem. It comprises 35 items, is treated as unidimensional, maps onto the attributes of </w:t>
      </w:r>
      <w:proofErr w:type="spellStart"/>
      <w:r w:rsidRPr="00C058B7">
        <w:rPr>
          <w:rFonts w:ascii="Times New Roman" w:eastAsia="Times New Roman" w:hAnsi="Times New Roman"/>
          <w:sz w:val="24"/>
          <w:szCs w:val="24"/>
        </w:rPr>
        <w:t>Jorm's</w:t>
      </w:r>
      <w:proofErr w:type="spellEnd"/>
      <w:r w:rsidRPr="00C058B7">
        <w:rPr>
          <w:rFonts w:ascii="Times New Roman" w:eastAsia="Times New Roman" w:hAnsi="Times New Roman"/>
          <w:sz w:val="24"/>
          <w:szCs w:val="24"/>
        </w:rPr>
        <w:t xml:space="preserve"> definition, and yields scores between 35 and 160 (O'Connor &amp; Casey, 2015). It has since been used across a wide range of linguistic and cultural settings, including in sub-Saharan Africa (Korhonen, </w:t>
      </w:r>
      <w:proofErr w:type="spellStart"/>
      <w:r w:rsidRPr="00C058B7">
        <w:rPr>
          <w:rFonts w:ascii="Times New Roman" w:eastAsia="Times New Roman" w:hAnsi="Times New Roman"/>
          <w:sz w:val="24"/>
          <w:szCs w:val="24"/>
        </w:rPr>
        <w:t>Axelin</w:t>
      </w:r>
      <w:proofErr w:type="spellEnd"/>
      <w:r w:rsidRPr="00C058B7">
        <w:rPr>
          <w:rFonts w:ascii="Times New Roman" w:eastAsia="Times New Roman" w:hAnsi="Times New Roman"/>
          <w:sz w:val="24"/>
          <w:szCs w:val="24"/>
        </w:rPr>
        <w:t>, Stein, et al., 2022).</w:t>
      </w:r>
    </w:p>
    <w:p w14:paraId="7B66DE34"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4"/>
          <w:szCs w:val="24"/>
        </w:rPr>
        <w:t>The recognition criterion</w:t>
      </w:r>
    </w:p>
    <w:p w14:paraId="34675AD7"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A feature of the construct's </w:t>
      </w:r>
      <w:proofErr w:type="spellStart"/>
      <w:r w:rsidRPr="00C058B7">
        <w:rPr>
          <w:rFonts w:ascii="Times New Roman" w:eastAsia="Times New Roman" w:hAnsi="Times New Roman"/>
          <w:sz w:val="24"/>
          <w:szCs w:val="24"/>
        </w:rPr>
        <w:t>operationalisation</w:t>
      </w:r>
      <w:proofErr w:type="spellEnd"/>
      <w:r w:rsidRPr="00C058B7">
        <w:rPr>
          <w:rFonts w:ascii="Times New Roman" w:eastAsia="Times New Roman" w:hAnsi="Times New Roman"/>
          <w:sz w:val="24"/>
          <w:szCs w:val="24"/>
        </w:rPr>
        <w:t xml:space="preserve"> deserves particular scrutiny, because it determines what a literacy score means in a setting such as Zimbabwe's.</w:t>
      </w:r>
    </w:p>
    <w:p w14:paraId="7C14BDF2"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In the vignette method, literacy is evidenced by the application of a diagnostic label. The original survey reports the proportions who correctly labelled the vignettes, and the arithmetic of that reporting is instructive: a respondent who </w:t>
      </w:r>
      <w:proofErr w:type="spellStart"/>
      <w:r w:rsidRPr="00C058B7">
        <w:rPr>
          <w:rFonts w:ascii="Times New Roman" w:eastAsia="Times New Roman" w:hAnsi="Times New Roman"/>
          <w:sz w:val="24"/>
          <w:szCs w:val="24"/>
        </w:rPr>
        <w:t>recognised</w:t>
      </w:r>
      <w:proofErr w:type="spellEnd"/>
      <w:r w:rsidRPr="00C058B7">
        <w:rPr>
          <w:rFonts w:ascii="Times New Roman" w:eastAsia="Times New Roman" w:hAnsi="Times New Roman"/>
          <w:sz w:val="24"/>
          <w:szCs w:val="24"/>
        </w:rPr>
        <w:t xml:space="preserve"> that the person described was unwell, that the condition was serious, and that help should be sought, but who did not produce the word depression, is counted among the 61% who did not correctly label (</w:t>
      </w:r>
      <w:proofErr w:type="spellStart"/>
      <w:r w:rsidRPr="00C058B7">
        <w:rPr>
          <w:rFonts w:ascii="Times New Roman" w:eastAsia="Times New Roman" w:hAnsi="Times New Roman"/>
          <w:sz w:val="24"/>
          <w:szCs w:val="24"/>
        </w:rPr>
        <w:t>Jorm</w:t>
      </w:r>
      <w:proofErr w:type="spellEnd"/>
      <w:r w:rsidRPr="00C058B7">
        <w:rPr>
          <w:rFonts w:ascii="Times New Roman" w:eastAsia="Times New Roman" w:hAnsi="Times New Roman"/>
          <w:sz w:val="24"/>
          <w:szCs w:val="24"/>
        </w:rPr>
        <w:t xml:space="preserve"> et al., 1997). The criterion of literacy is thus not recognition of distress but the possession of a biomedical vocabulary. This is a defensible design choice in a population for whom that vocabulary is the ordinary language of health services. It is a substantive assumption, rather than a neutral measurement decision, in a population for whom it is not.</w:t>
      </w:r>
    </w:p>
    <w:p w14:paraId="42C7F6EF"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There is a temptation at this point to conclude that cultural concepts of distress and psychiatric categories are incommensurable and that imported instrumentation is therefore futile. The evidence does not support that conclusion, and this review does not advance it. The most substantial review of the comparative literature, covering 45 studies and 18,782 participants, concluded that cultural concepts of distress are not inherently </w:t>
      </w:r>
      <w:r w:rsidRPr="00C058B7">
        <w:rPr>
          <w:rFonts w:ascii="Times New Roman" w:eastAsia="Times New Roman" w:hAnsi="Times New Roman"/>
          <w:sz w:val="24"/>
          <w:szCs w:val="24"/>
        </w:rPr>
        <w:lastRenderedPageBreak/>
        <w:t>unamenable to epidemiological investigation, and located the obstacle in the methodological quality of the studies attempting it rather than in any intrinsic incommensurability (Kohrt et al., 2014). A systematic review of 29 studies integrating idioms of distress into assessment measures and interventions reached a compatible conclusion: measures incorporating such idioms achieved moderate to high validity (Cork et al., 2019).</w:t>
      </w:r>
    </w:p>
    <w:p w14:paraId="0C58F8C8"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The problem identified by that same review is more specific and more tractable. Integration has predominantly taken the form of inserting local concepts into instruments originally developed in the Global North, rather than building measures upward from local concepts; and the linguistic translation procedures underpinning that integration have generally been reported inadequately, leaving the resulting validity claims difficult to evaluate (Cork et al., 2019).</w:t>
      </w:r>
    </w:p>
    <w:p w14:paraId="4C4CCED9"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This is the position from which the remainder of the review proceeds. Mental health literacy is a portable construct, and the instruments that measure it are portable in principle. Neither is portable in fact to Zimbabwe's energy-sector workforce at present, because the validation and translation work that would license their use has not been done, and because the prevailing method of adaptation is the one Cork and colleagues identify as least satisfactory. The argument is therefore not that measurement in this setting is impossible, but that it is currently unlicensed, and that what would license it is specifiable.</w:t>
      </w:r>
    </w:p>
    <w:p w14:paraId="39A82B88"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4"/>
          <w:szCs w:val="24"/>
        </w:rPr>
        <w:t>The energy sector as a psychosocial risk environment</w:t>
      </w:r>
    </w:p>
    <w:p w14:paraId="039ACBF0"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The case for attending to psychological risk in energy-sector work rests on three claims of descending evidential strength: that workplaces in general are a consequential site for mental health, that male-dominated industrial workplaces carry identifiable psychosocial risk, and that Zimbabwe's energy sector belongs to the category so identified. The first is well established, the second is supported by systematic review, and the third is an inference this section makes explicit rather than assumes.</w:t>
      </w:r>
    </w:p>
    <w:p w14:paraId="648E6D42"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At the general level, the World Health Organization (2022) estimates that 15% of working-age adults have a mental disorder at any point in time and that depression and anxiety cost the global economy in the order of US\$1 trillion annually, predominantly through lost productivity. Its guidance treats the workplace as a site for </w:t>
      </w:r>
      <w:proofErr w:type="spellStart"/>
      <w:r w:rsidRPr="00C058B7">
        <w:rPr>
          <w:rFonts w:ascii="Times New Roman" w:eastAsia="Times New Roman" w:hAnsi="Times New Roman"/>
          <w:sz w:val="24"/>
          <w:szCs w:val="24"/>
        </w:rPr>
        <w:t>organisational</w:t>
      </w:r>
      <w:proofErr w:type="spellEnd"/>
      <w:r w:rsidRPr="00C058B7">
        <w:rPr>
          <w:rFonts w:ascii="Times New Roman" w:eastAsia="Times New Roman" w:hAnsi="Times New Roman"/>
          <w:sz w:val="24"/>
          <w:szCs w:val="24"/>
        </w:rPr>
        <w:t xml:space="preserve"> intervention, manager training, worker training, individual intervention, return-to-work provision and support for gaining employment.</w:t>
      </w:r>
    </w:p>
    <w:p w14:paraId="47026A39"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The same guidance assembles evidence on the specific psychosocial exposures that </w:t>
      </w:r>
      <w:proofErr w:type="spellStart"/>
      <w:r w:rsidRPr="00C058B7">
        <w:rPr>
          <w:rFonts w:ascii="Times New Roman" w:eastAsia="Times New Roman" w:hAnsi="Times New Roman"/>
          <w:sz w:val="24"/>
          <w:szCs w:val="24"/>
        </w:rPr>
        <w:t>characterise</w:t>
      </w:r>
      <w:proofErr w:type="spellEnd"/>
      <w:r w:rsidRPr="00C058B7">
        <w:rPr>
          <w:rFonts w:ascii="Times New Roman" w:eastAsia="Times New Roman" w:hAnsi="Times New Roman"/>
          <w:sz w:val="24"/>
          <w:szCs w:val="24"/>
        </w:rPr>
        <w:t xml:space="preserve"> utility work. Long working hours and shift work are associated with increased odds of suicidal ideation; low job control is associated with increased odds of suicide; job insecurity is related to higher risk of depressive symptoms and of suicidal ideation; and low co-worker and low supervisor support increase the risk of subthreshold symptoms, suicidal ideation and suicide mortality (World Health Organization, 2022). Shift rotation, standby, dispersed deployment and lone working are not incidental features of electricity distribution but constitutive of it.</w:t>
      </w:r>
    </w:p>
    <w:p w14:paraId="42B1E01A"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At the sectoral level, the most directly applicable synthesis is a systematic review of workplace risk factors for anxiety and depression in male-dominated industries, defined as industries in which at least 70% of workers are male and comprising agriculture, construction, mining, manufacturing, transport and utilities (</w:t>
      </w:r>
      <w:proofErr w:type="spellStart"/>
      <w:r w:rsidRPr="00C058B7">
        <w:rPr>
          <w:rFonts w:ascii="Times New Roman" w:eastAsia="Times New Roman" w:hAnsi="Times New Roman"/>
          <w:sz w:val="24"/>
          <w:szCs w:val="24"/>
        </w:rPr>
        <w:t>Battams</w:t>
      </w:r>
      <w:proofErr w:type="spellEnd"/>
      <w:r w:rsidRPr="00C058B7">
        <w:rPr>
          <w:rFonts w:ascii="Times New Roman" w:eastAsia="Times New Roman" w:hAnsi="Times New Roman"/>
          <w:sz w:val="24"/>
          <w:szCs w:val="24"/>
        </w:rPr>
        <w:t xml:space="preserve"> et al., 2014). Utilities fall within this grouping by definition, which makes the review the natural bridge from an energy-sector question to an established occupational literature. Its authors concluded that there is a need for </w:t>
      </w:r>
      <w:proofErr w:type="spellStart"/>
      <w:r w:rsidRPr="00C058B7">
        <w:rPr>
          <w:rFonts w:ascii="Times New Roman" w:eastAsia="Times New Roman" w:hAnsi="Times New Roman"/>
          <w:sz w:val="24"/>
          <w:szCs w:val="24"/>
        </w:rPr>
        <w:t>organisationally</w:t>
      </w:r>
      <w:proofErr w:type="spellEnd"/>
      <w:r w:rsidRPr="00C058B7">
        <w:rPr>
          <w:rFonts w:ascii="Times New Roman" w:eastAsia="Times New Roman" w:hAnsi="Times New Roman"/>
          <w:sz w:val="24"/>
          <w:szCs w:val="24"/>
        </w:rPr>
        <w:t xml:space="preserve"> focused workplace mental health policies and interventions, locating the problem at the level of work design rather than individual vulnerability.</w:t>
      </w:r>
    </w:p>
    <w:p w14:paraId="3CEF25A7"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4"/>
          <w:szCs w:val="24"/>
        </w:rPr>
        <w:t>The problem of transfer</w:t>
      </w:r>
    </w:p>
    <w:p w14:paraId="3D845A33"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The difficulty is that this literature is almost entirely Australian, North American and European. The WHO guidance is explicit that the studies underpinning its worker- and manager-training recommendations were carried out in high-income countries, usually in medium-to-large </w:t>
      </w:r>
      <w:proofErr w:type="spellStart"/>
      <w:r w:rsidRPr="00C058B7">
        <w:rPr>
          <w:rFonts w:ascii="Times New Roman" w:eastAsia="Times New Roman" w:hAnsi="Times New Roman"/>
          <w:sz w:val="24"/>
          <w:szCs w:val="24"/>
        </w:rPr>
        <w:t>organisations</w:t>
      </w:r>
      <w:proofErr w:type="spellEnd"/>
      <w:r w:rsidRPr="00C058B7">
        <w:rPr>
          <w:rFonts w:ascii="Times New Roman" w:eastAsia="Times New Roman" w:hAnsi="Times New Roman"/>
          <w:sz w:val="24"/>
          <w:szCs w:val="24"/>
        </w:rPr>
        <w:t xml:space="preserve"> (World Health Organization, 2022). Applying such findings to a Zimbabwean utility workforce without argument would substitute the appearance of an evidence base for an actual one.</w:t>
      </w:r>
    </w:p>
    <w:p w14:paraId="19852AE6"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lastRenderedPageBreak/>
        <w:t>Two considerations nonetheless support qualified transfer. The first is that the risk factors identified in that literature are largely structural features of the work itself rather than of the national context. Shift and standby rotation, hazard vigilance, dispersed deployment, low job control at operator level and the occupational cultures that develop around these conditions are properties of how electricity is generated and distributed, and they do not become different properties at a different latitude. Where a risk factor is a feature of the work, transfer is reasonable on its face.</w:t>
      </w:r>
    </w:p>
    <w:p w14:paraId="24CB8143"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The second is that where the risk factor is instead a feature of the surrounding social and economic system — employment security, household financial strain, the availability of services to refer into, the social meaning attached to psychological distress — transfer is not warranted, and these are precisely the domains in which the Zimbabwean context diverges most sharply. This review therefore proposes that the male-dominated industries literature be treated as generating hypotheses about work-design risk in this population, while the contextual moderators be treated as empirically open. Specifying which is which is itself a contribution, because the alternative practice in applied work is to import the whole literature undifferentiated.</w:t>
      </w:r>
    </w:p>
    <w:p w14:paraId="2E2ABAA9"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Several candidate moderators warrant explicit study rather than assumption, and are advanced here as hypotheses rather than findings: the emotional </w:t>
      </w:r>
      <w:proofErr w:type="spellStart"/>
      <w:r w:rsidRPr="00C058B7">
        <w:rPr>
          <w:rFonts w:ascii="Times New Roman" w:eastAsia="Times New Roman" w:hAnsi="Times New Roman"/>
          <w:sz w:val="24"/>
          <w:szCs w:val="24"/>
        </w:rPr>
        <w:t>labour</w:t>
      </w:r>
      <w:proofErr w:type="spellEnd"/>
      <w:r w:rsidRPr="00C058B7">
        <w:rPr>
          <w:rFonts w:ascii="Times New Roman" w:eastAsia="Times New Roman" w:hAnsi="Times New Roman"/>
          <w:sz w:val="24"/>
          <w:szCs w:val="24"/>
        </w:rPr>
        <w:t xml:space="preserve"> of fault restoration under conditions of public frustration; the effect of load-shedding regimes on the tempo and unpredictability of field work; exposure to infrastructure theft and vandalism as a source of both physical danger and moral distress; remuneration under macroeconomic volatility; and the interaction between locally prevailing masculine norms and disclosure of psychological difficulty. None of these is documented in the peer-reviewed literature for the Zimbabwean energy sector, and no claim is made here that they operate as described.</w:t>
      </w:r>
    </w:p>
    <w:p w14:paraId="3847BEA3"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4"/>
          <w:szCs w:val="24"/>
        </w:rPr>
        <w:t>An inconvenient finding</w:t>
      </w:r>
    </w:p>
    <w:p w14:paraId="33693381"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A further finding in the WHO guidance must be confronted rather than passed over. Training workers in mental health literacy and awareness carries only a conditional recommendation on very low-certainty evidence. Low-certainty evidence suggested small-to-moderate beneficial effects on workers' knowledge, and very low-certainty evidence a small effect on </w:t>
      </w:r>
      <w:proofErr w:type="spellStart"/>
      <w:r w:rsidRPr="00C058B7">
        <w:rPr>
          <w:rFonts w:ascii="Times New Roman" w:eastAsia="Times New Roman" w:hAnsi="Times New Roman"/>
          <w:sz w:val="24"/>
          <w:szCs w:val="24"/>
        </w:rPr>
        <w:t>stigmatising</w:t>
      </w:r>
      <w:proofErr w:type="spellEnd"/>
      <w:r w:rsidRPr="00C058B7">
        <w:rPr>
          <w:rFonts w:ascii="Times New Roman" w:eastAsia="Times New Roman" w:hAnsi="Times New Roman"/>
          <w:sz w:val="24"/>
          <w:szCs w:val="24"/>
        </w:rPr>
        <w:t xml:space="preserve"> attitudes; but low-certainty evidence indicated that such training did not change the self-reported provision of help by trainees to others, and no outcomes were reported for help-seeking </w:t>
      </w:r>
      <w:proofErr w:type="spellStart"/>
      <w:r w:rsidRPr="00C058B7">
        <w:rPr>
          <w:rFonts w:ascii="Times New Roman" w:eastAsia="Times New Roman" w:hAnsi="Times New Roman"/>
          <w:sz w:val="24"/>
          <w:szCs w:val="24"/>
        </w:rPr>
        <w:t>behaviours</w:t>
      </w:r>
      <w:proofErr w:type="spellEnd"/>
      <w:r w:rsidRPr="00C058B7">
        <w:rPr>
          <w:rFonts w:ascii="Times New Roman" w:eastAsia="Times New Roman" w:hAnsi="Times New Roman"/>
          <w:sz w:val="24"/>
          <w:szCs w:val="24"/>
        </w:rPr>
        <w:t xml:space="preserve"> by colleagues supported by a training recipient. In the parallel recommendation for at-risk sectors, a small effect on trainees' attitudes to seeking help for themselves was no longer observed at three-year follow-up, and no effect was observed on actual help-seeking </w:t>
      </w:r>
      <w:proofErr w:type="spellStart"/>
      <w:r w:rsidRPr="00C058B7">
        <w:rPr>
          <w:rFonts w:ascii="Times New Roman" w:eastAsia="Times New Roman" w:hAnsi="Times New Roman"/>
          <w:sz w:val="24"/>
          <w:szCs w:val="24"/>
        </w:rPr>
        <w:t>behaviour</w:t>
      </w:r>
      <w:proofErr w:type="spellEnd"/>
      <w:r w:rsidRPr="00C058B7">
        <w:rPr>
          <w:rFonts w:ascii="Times New Roman" w:eastAsia="Times New Roman" w:hAnsi="Times New Roman"/>
          <w:sz w:val="24"/>
          <w:szCs w:val="24"/>
        </w:rPr>
        <w:t xml:space="preserve"> (World Health Organization, 2022).</w:t>
      </w:r>
    </w:p>
    <w:p w14:paraId="65E9AFDB"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If literacy training does not shift help-seeking </w:t>
      </w:r>
      <w:proofErr w:type="spellStart"/>
      <w:r w:rsidRPr="00C058B7">
        <w:rPr>
          <w:rFonts w:ascii="Times New Roman" w:eastAsia="Times New Roman" w:hAnsi="Times New Roman"/>
          <w:sz w:val="24"/>
          <w:szCs w:val="24"/>
        </w:rPr>
        <w:t>behaviour</w:t>
      </w:r>
      <w:proofErr w:type="spellEnd"/>
      <w:r w:rsidRPr="00C058B7">
        <w:rPr>
          <w:rFonts w:ascii="Times New Roman" w:eastAsia="Times New Roman" w:hAnsi="Times New Roman"/>
          <w:sz w:val="24"/>
          <w:szCs w:val="24"/>
        </w:rPr>
        <w:t xml:space="preserve">, the case for studying literacy appears weakened. Three responses are available. First, the finding concerns intervention effect, not construct relevance: a null result on downstream outcomes does not establish that recognition and help-seeking knowledge are unimportant, only that a particular class of training has not been shown to move them. Second, and more consequentially for the argument developed here, the evidence base supporting that null is drawn overwhelmingly from settings where the measurement question addressed below does not arise. Where literacy is assessed by instruments whose recognition criterion may not align with how the population </w:t>
      </w:r>
      <w:proofErr w:type="spellStart"/>
      <w:r w:rsidRPr="00C058B7">
        <w:rPr>
          <w:rFonts w:ascii="Times New Roman" w:eastAsia="Times New Roman" w:hAnsi="Times New Roman"/>
          <w:sz w:val="24"/>
          <w:szCs w:val="24"/>
        </w:rPr>
        <w:t>conceptualises</w:t>
      </w:r>
      <w:proofErr w:type="spellEnd"/>
      <w:r w:rsidRPr="00C058B7">
        <w:rPr>
          <w:rFonts w:ascii="Times New Roman" w:eastAsia="Times New Roman" w:hAnsi="Times New Roman"/>
          <w:sz w:val="24"/>
          <w:szCs w:val="24"/>
        </w:rPr>
        <w:t xml:space="preserve"> distress, a null finding is not straightforwardly interpretable: it is consistent with the intervention failing, and equally consistent with the measure failing to register a change that occurred. This is not a claim that the null is spurious, but that available designs cannot distinguish the two, which is an argument for better measurement rather than for abandoning the question. Third, the WHO evidence base includes no population comparable to this one, so its </w:t>
      </w:r>
      <w:proofErr w:type="spellStart"/>
      <w:r w:rsidRPr="00C058B7">
        <w:rPr>
          <w:rFonts w:ascii="Times New Roman" w:eastAsia="Times New Roman" w:hAnsi="Times New Roman"/>
          <w:sz w:val="24"/>
          <w:szCs w:val="24"/>
        </w:rPr>
        <w:t>generalisation</w:t>
      </w:r>
      <w:proofErr w:type="spellEnd"/>
      <w:r w:rsidRPr="00C058B7">
        <w:rPr>
          <w:rFonts w:ascii="Times New Roman" w:eastAsia="Times New Roman" w:hAnsi="Times New Roman"/>
          <w:sz w:val="24"/>
          <w:szCs w:val="24"/>
        </w:rPr>
        <w:t xml:space="preserve"> is subject to the same transfer constraint set out above.</w:t>
      </w:r>
    </w:p>
    <w:p w14:paraId="510C5626"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4"/>
          <w:szCs w:val="24"/>
        </w:rPr>
        <w:t>The Zimbabwean context</w:t>
      </w:r>
    </w:p>
    <w:p w14:paraId="6151D7BB"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Zimbabwe occupies an unusual position in the global mental health literature. It is a low-income setting with a severe specialist shortage and a substantial treatment gap, and it is simultaneously the origin of one of the most widely cited task-shifting interventions in the field. Both facts bear on how mental health literacy should be conceived for a workforce population, and the second bears on it in a way that has not been </w:t>
      </w:r>
      <w:proofErr w:type="spellStart"/>
      <w:r w:rsidRPr="00C058B7">
        <w:rPr>
          <w:rFonts w:ascii="Times New Roman" w:eastAsia="Times New Roman" w:hAnsi="Times New Roman"/>
          <w:sz w:val="24"/>
          <w:szCs w:val="24"/>
        </w:rPr>
        <w:t>recognised</w:t>
      </w:r>
      <w:proofErr w:type="spellEnd"/>
      <w:r w:rsidRPr="00C058B7">
        <w:rPr>
          <w:rFonts w:ascii="Times New Roman" w:eastAsia="Times New Roman" w:hAnsi="Times New Roman"/>
          <w:sz w:val="24"/>
          <w:szCs w:val="24"/>
        </w:rPr>
        <w:t>.</w:t>
      </w:r>
    </w:p>
    <w:p w14:paraId="1BCDF84D"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4"/>
          <w:szCs w:val="24"/>
        </w:rPr>
        <w:lastRenderedPageBreak/>
        <w:t>Provision through task-shifting</w:t>
      </w:r>
    </w:p>
    <w:p w14:paraId="47BB73DE"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The Friendship Bench was developed as a response to the impossibility of meeting demand through specialist services. The scale of that impossibility is documented: a WHO country assessment reported approximately 18 psychiatrists nationally, of whom 17 were in Harare, equivalent to roughly 0.1 per 100,000 population, alongside 6 psychologists at 0.04 per 100,000 and 917 psychiatric nurses at 6.5 per 100,000 (World Health Organization, 2020). The geographic concentration is as consequential as the absolute scarcity for a workforce dispersed across depots and rural feeders. These figures date from 2020 and should be cited with that date attached rather than presented as current.</w:t>
      </w:r>
    </w:p>
    <w:p w14:paraId="7D58F9F1"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The intervention delivers brief problem-solving therapy for common mental disorders through trained and supervised lay health workers, sited at primary care facilities, with eligibility determined by a locally validated screening instrument (Chibanda et al., 2015). Its effectiveness was subsequently established in a </w:t>
      </w:r>
      <w:proofErr w:type="spellStart"/>
      <w:r w:rsidRPr="00C058B7">
        <w:rPr>
          <w:rFonts w:ascii="Times New Roman" w:eastAsia="Times New Roman" w:hAnsi="Times New Roman"/>
          <w:sz w:val="24"/>
          <w:szCs w:val="24"/>
        </w:rPr>
        <w:t>randomised</w:t>
      </w:r>
      <w:proofErr w:type="spellEnd"/>
      <w:r w:rsidRPr="00C058B7">
        <w:rPr>
          <w:rFonts w:ascii="Times New Roman" w:eastAsia="Times New Roman" w:hAnsi="Times New Roman"/>
          <w:sz w:val="24"/>
          <w:szCs w:val="24"/>
        </w:rPr>
        <w:t xml:space="preserve"> clinical trial (Chibanda et al., 2016).</w:t>
      </w:r>
    </w:p>
    <w:p w14:paraId="59797AC6"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Two features of this system matter for an energy-sector workforce. The first is that it is clinic- and community-sited rather than workplace-sited. A worker on standby rotation across dispersed depots encounters it only by presenting at a primary care facility on their own initiative. The second is that its entry criterion is symptom-based screening, not literacy. The system is designed to treat people who arrive; it does not address whether people </w:t>
      </w:r>
      <w:proofErr w:type="spellStart"/>
      <w:r w:rsidRPr="00C058B7">
        <w:rPr>
          <w:rFonts w:ascii="Times New Roman" w:eastAsia="Times New Roman" w:hAnsi="Times New Roman"/>
          <w:sz w:val="24"/>
          <w:szCs w:val="24"/>
        </w:rPr>
        <w:t>recognise</w:t>
      </w:r>
      <w:proofErr w:type="spellEnd"/>
      <w:r w:rsidRPr="00C058B7">
        <w:rPr>
          <w:rFonts w:ascii="Times New Roman" w:eastAsia="Times New Roman" w:hAnsi="Times New Roman"/>
          <w:sz w:val="24"/>
          <w:szCs w:val="24"/>
        </w:rPr>
        <w:t xml:space="preserve"> that they should.</w:t>
      </w:r>
    </w:p>
    <w:p w14:paraId="2467F13F" w14:textId="77777777" w:rsidR="00C058B7" w:rsidRPr="00C058B7" w:rsidRDefault="00C058B7" w:rsidP="00C058B7">
      <w:pPr>
        <w:spacing w:after="240" w:line="240" w:lineRule="auto"/>
        <w:jc w:val="both"/>
        <w:rPr>
          <w:rFonts w:ascii="Times New Roman" w:hAnsi="Times New Roman"/>
          <w:sz w:val="24"/>
          <w:szCs w:val="24"/>
        </w:rPr>
      </w:pPr>
      <w:proofErr w:type="spellStart"/>
      <w:r w:rsidRPr="00C058B7">
        <w:rPr>
          <w:rFonts w:ascii="Times New Roman" w:eastAsia="Times New Roman" w:hAnsi="Times New Roman"/>
          <w:b/>
          <w:bCs/>
          <w:sz w:val="24"/>
          <w:szCs w:val="24"/>
        </w:rPr>
        <w:t>Kufungisisa</w:t>
      </w:r>
      <w:proofErr w:type="spellEnd"/>
      <w:r w:rsidRPr="00C058B7">
        <w:rPr>
          <w:rFonts w:ascii="Times New Roman" w:eastAsia="Times New Roman" w:hAnsi="Times New Roman"/>
          <w:b/>
          <w:bCs/>
          <w:sz w:val="24"/>
          <w:szCs w:val="24"/>
        </w:rPr>
        <w:t xml:space="preserve"> and the limits of equivalence</w:t>
      </w:r>
    </w:p>
    <w:p w14:paraId="429EC645"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The Shona concept of </w:t>
      </w:r>
      <w:proofErr w:type="spellStart"/>
      <w:r w:rsidRPr="00C058B7">
        <w:rPr>
          <w:rFonts w:ascii="Times New Roman" w:eastAsia="Times New Roman" w:hAnsi="Times New Roman"/>
          <w:sz w:val="24"/>
          <w:szCs w:val="24"/>
        </w:rPr>
        <w:t>kufungisisa</w:t>
      </w:r>
      <w:proofErr w:type="spellEnd"/>
      <w:r w:rsidRPr="00C058B7">
        <w:rPr>
          <w:rFonts w:ascii="Times New Roman" w:eastAsia="Times New Roman" w:hAnsi="Times New Roman"/>
          <w:sz w:val="24"/>
          <w:szCs w:val="24"/>
        </w:rPr>
        <w:t xml:space="preserve"> is routinely glossed in the secondary literature as the local equivalent of depression, or of depression and anxiety together. The primary source does not support that gloss. Patel and colleagues report that the term is used to mean both a cause and a symptom of illness, that patients and care providers alike relate it to mental, social and spiritual distress, and that while it is strongly related to biomedical constructs of non-psychotic mental illness it is not specifically related either to depression or to anxiety; they propose feeling stressed, or a non-specific neurotic illness, as its nearest conceptual equivalent (Patel et al., 1995). The concept was subsequently incorporated into the DSM-5 glossary of cultural concepts of distress under the heading of thinking too much (American Psychiatric Association, 2013).</w:t>
      </w:r>
    </w:p>
    <w:p w14:paraId="60290A60"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The consequence for literacy measurement is more serious than a simple translation mismatch would be. An instrument that assesses recognition by asking respondents to identify specific disorders is asking for a level of diagnostic specificity that the prevailing local concept does not carry — not because the concept is vague, but because it is </w:t>
      </w:r>
      <w:proofErr w:type="spellStart"/>
      <w:r w:rsidRPr="00C058B7">
        <w:rPr>
          <w:rFonts w:ascii="Times New Roman" w:eastAsia="Times New Roman" w:hAnsi="Times New Roman"/>
          <w:sz w:val="24"/>
          <w:szCs w:val="24"/>
        </w:rPr>
        <w:t>organised</w:t>
      </w:r>
      <w:proofErr w:type="spellEnd"/>
      <w:r w:rsidRPr="00C058B7">
        <w:rPr>
          <w:rFonts w:ascii="Times New Roman" w:eastAsia="Times New Roman" w:hAnsi="Times New Roman"/>
          <w:sz w:val="24"/>
          <w:szCs w:val="24"/>
        </w:rPr>
        <w:t xml:space="preserve"> differently. A worker who identifies </w:t>
      </w:r>
      <w:proofErr w:type="spellStart"/>
      <w:r w:rsidRPr="00C058B7">
        <w:rPr>
          <w:rFonts w:ascii="Times New Roman" w:eastAsia="Times New Roman" w:hAnsi="Times New Roman"/>
          <w:sz w:val="24"/>
          <w:szCs w:val="24"/>
        </w:rPr>
        <w:t>kufungisisa</w:t>
      </w:r>
      <w:proofErr w:type="spellEnd"/>
      <w:r w:rsidRPr="00C058B7">
        <w:rPr>
          <w:rFonts w:ascii="Times New Roman" w:eastAsia="Times New Roman" w:hAnsi="Times New Roman"/>
          <w:sz w:val="24"/>
          <w:szCs w:val="24"/>
        </w:rPr>
        <w:t xml:space="preserve"> has </w:t>
      </w:r>
      <w:proofErr w:type="spellStart"/>
      <w:r w:rsidRPr="00C058B7">
        <w:rPr>
          <w:rFonts w:ascii="Times New Roman" w:eastAsia="Times New Roman" w:hAnsi="Times New Roman"/>
          <w:sz w:val="24"/>
          <w:szCs w:val="24"/>
        </w:rPr>
        <w:t>recognised</w:t>
      </w:r>
      <w:proofErr w:type="spellEnd"/>
      <w:r w:rsidRPr="00C058B7">
        <w:rPr>
          <w:rFonts w:ascii="Times New Roman" w:eastAsia="Times New Roman" w:hAnsi="Times New Roman"/>
          <w:sz w:val="24"/>
          <w:szCs w:val="24"/>
        </w:rPr>
        <w:t xml:space="preserve"> something real and has done so accurately in the terms available to them. Scored against a disorder-specific recognition criterion, that worker registers as lacking literacy.</w:t>
      </w:r>
    </w:p>
    <w:p w14:paraId="217FDF64"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4"/>
          <w:szCs w:val="24"/>
        </w:rPr>
        <w:t>The Shona Symptom Questionnaire as a worked precedent</w:t>
      </w:r>
    </w:p>
    <w:p w14:paraId="41A9C2FD"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The instrument on which that system depends was itself built in a manner the international literature has since identified as rare and valuable. The Shona Symptom Questionnaire was developed by eliciting idioms of distress through ethnographic and qualitative work, including with patients consulting traditional medical practitioners, producing a 56-item preliminary instrument to which items from the Self-Report Questionnaire were added. It was administered to 302 randomly selected primary care attenders, of whom 100 were classified as cases on the agreement of care-provider assessment and psychiatric interview; discriminant analysis reduced the pool to the 14 items most strongly predictive of disorder, yielding an instrument with a Cronbach's alpha of 0.85. Its authors describe it as the first indigenous measure of mental disorder developed in sub-Saharan Africa to have incorporated idioms of distress drawn from primary care attenders and to have involved patients consulting traditional healers (Patel et al., 1997).</w:t>
      </w:r>
    </w:p>
    <w:p w14:paraId="28AA3E93"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The significance of this is easily missed. The systematic review cited above found that where cultural concepts of distress have been integrated into assessment, the integration has usually consisted of inserting them into instruments developed in the Global North, and that what the field needs is emic, bottom-up development of </w:t>
      </w:r>
      <w:r w:rsidRPr="00C058B7">
        <w:rPr>
          <w:rFonts w:ascii="Times New Roman" w:eastAsia="Times New Roman" w:hAnsi="Times New Roman"/>
          <w:sz w:val="24"/>
          <w:szCs w:val="24"/>
        </w:rPr>
        <w:lastRenderedPageBreak/>
        <w:t>measures in Global South contexts (Cork et al., 2019). The Shona Symptom Questionnaire is an instance of exactly that practice, carried out in Shona, in Harare, and published two decades before the review that called for it.</w:t>
      </w:r>
    </w:p>
    <w:p w14:paraId="262F5F00"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The methodological precedent therefore already exists in this setting. It has simply never been applied to the literacy construct. The argument of this review is not that Zimbabwean energy-sector workers require an instrument nobody knows how to build; it is that the procedure for building one is documented in the Zimbabwean literature, was executed successfully for symptom measurement, and has not been repeated for the measurement of recognition and help-seeking knowledge.</w:t>
      </w:r>
    </w:p>
    <w:p w14:paraId="025C556D"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4"/>
          <w:szCs w:val="24"/>
        </w:rPr>
        <w:t>What the context does not supply</w:t>
      </w:r>
    </w:p>
    <w:p w14:paraId="2B45E295"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Three limits should be stated plainly. First, the Shona Symptom Questionnaire measures symptom burden, not literacy. It establishes that emic instrument development is feasible here; it does not provide a literacy measure and cannot be repurposed as one. Second, none of this infrastructure is occupational. The literature generated by the Friendship Bench concerns primary care attenders, people living with HIV, adolescents and rural women; no component of it has been designed for or evaluated in a workplace, and no assumption should be made that a model developed for clinic attenders transfers unmodified to a shift-working, dispersed, predominantly male industrial workforce. Third, Shona is not the only language spoken in Zimbabwe's energy sector, and an instrument developed in Shona for Harare primary care attenders in the 1990s cannot be assumed to carry to a national utility workforce across linguistic communities and three decades of social change. The precedent is a precedent for a method, not a ready-made solution.</w:t>
      </w:r>
    </w:p>
    <w:p w14:paraId="33123983"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4"/>
          <w:szCs w:val="24"/>
        </w:rPr>
        <w:t>The measurement problem</w:t>
      </w:r>
    </w:p>
    <w:p w14:paraId="5D3516BA"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The preceding sections establish that Zimbabwe's energy-sector workforce is a plausible site of psychosocial risk, that recognition and help-seeking knowledge carry particular weight in a task-shifted system entered by self-presentation, and that the local conceptual vocabulary for distress is not identical to the </w:t>
      </w:r>
      <w:proofErr w:type="spellStart"/>
      <w:r w:rsidRPr="00C058B7">
        <w:rPr>
          <w:rFonts w:ascii="Times New Roman" w:eastAsia="Times New Roman" w:hAnsi="Times New Roman"/>
          <w:sz w:val="24"/>
          <w:szCs w:val="24"/>
        </w:rPr>
        <w:t>nosological</w:t>
      </w:r>
      <w:proofErr w:type="spellEnd"/>
      <w:r w:rsidRPr="00C058B7">
        <w:rPr>
          <w:rFonts w:ascii="Times New Roman" w:eastAsia="Times New Roman" w:hAnsi="Times New Roman"/>
          <w:sz w:val="24"/>
          <w:szCs w:val="24"/>
        </w:rPr>
        <w:t xml:space="preserve"> vocabulary in which literacy instruments are written. This section addresses the operational question those observations produce: can the available instrumentation measure mental health literacy in this population, and if not yet, what would make it able to?</w:t>
      </w:r>
    </w:p>
    <w:p w14:paraId="58B5C9FE"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4"/>
          <w:szCs w:val="24"/>
        </w:rPr>
        <w:t>Distinguishing the measurement questions</w:t>
      </w:r>
    </w:p>
    <w:p w14:paraId="5112E8BE"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The terms in which an instrument is defended are not interchangeable, and the argument of this review turns on which of them is at issue. This section therefore fixes the vocabulary before applying it. The framework adopted is the COSMIN taxonomy, for two reasons. It was arrived at by formal consensus procedure and is the standard reference for measurement terminology in health outcomes research (</w:t>
      </w:r>
      <w:proofErr w:type="spellStart"/>
      <w:r w:rsidRPr="00C058B7">
        <w:rPr>
          <w:rFonts w:ascii="Times New Roman" w:eastAsia="Times New Roman" w:hAnsi="Times New Roman"/>
          <w:sz w:val="24"/>
          <w:szCs w:val="24"/>
        </w:rPr>
        <w:t>Mokkink</w:t>
      </w:r>
      <w:proofErr w:type="spellEnd"/>
      <w:r w:rsidRPr="00C058B7">
        <w:rPr>
          <w:rFonts w:ascii="Times New Roman" w:eastAsia="Times New Roman" w:hAnsi="Times New Roman"/>
          <w:sz w:val="24"/>
          <w:szCs w:val="24"/>
        </w:rPr>
        <w:t xml:space="preserve"> et al., 2010). And it is the framework against which the systematic review of the Mental Health Literacy Scale appraised its included studies (</w:t>
      </w:r>
      <w:proofErr w:type="spellStart"/>
      <w:r w:rsidRPr="00C058B7">
        <w:rPr>
          <w:rFonts w:ascii="Times New Roman" w:eastAsia="Times New Roman" w:hAnsi="Times New Roman"/>
          <w:sz w:val="24"/>
          <w:szCs w:val="24"/>
        </w:rPr>
        <w:t>ElKhalil</w:t>
      </w:r>
      <w:proofErr w:type="spellEnd"/>
      <w:r w:rsidRPr="00C058B7">
        <w:rPr>
          <w:rFonts w:ascii="Times New Roman" w:eastAsia="Times New Roman" w:hAnsi="Times New Roman"/>
          <w:sz w:val="24"/>
          <w:szCs w:val="24"/>
        </w:rPr>
        <w:t xml:space="preserve"> et al., 2024), so adopting it allows the present argument to be conducted in the same vocabulary as the evidence it rests on.</w:t>
      </w:r>
    </w:p>
    <w:p w14:paraId="5D77A833"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In that taxonomy, validity is not one property but three. Content validity is the degree to which the content of an instrument adequately reflects the construct to be measured, and is evaluated for the relevance, comprehensiveness and comprehensibility of its items in a specified population (</w:t>
      </w:r>
      <w:proofErr w:type="spellStart"/>
      <w:r w:rsidRPr="00C058B7">
        <w:rPr>
          <w:rFonts w:ascii="Times New Roman" w:eastAsia="Times New Roman" w:hAnsi="Times New Roman"/>
          <w:sz w:val="24"/>
          <w:szCs w:val="24"/>
        </w:rPr>
        <w:t>Terwee</w:t>
      </w:r>
      <w:proofErr w:type="spellEnd"/>
      <w:r w:rsidRPr="00C058B7">
        <w:rPr>
          <w:rFonts w:ascii="Times New Roman" w:eastAsia="Times New Roman" w:hAnsi="Times New Roman"/>
          <w:sz w:val="24"/>
          <w:szCs w:val="24"/>
        </w:rPr>
        <w:t xml:space="preserve"> et al., 2018). Construct validity is the degree to which scores are consistent with hypotheses formed on the assumption that the instrument measures the construct validly, and comprises three sub-properties: structural validity, whether scores reflect the dimensionality of the construct; hypotheses testing, whether relationships with other variables and differences between known groups behave as predicted; and cross-cultural validity, also termed measurement invariance, whether the items of a translated or culturally adapted version perform as the original items do. Criterion validity is the degree to which scores adequately reflect a gold standard. Reliability is a separate domain, comprising internal consistency, the interrelatedness of the items; reliability proper, the proportion of score variance attributable to true differences between respondents; and measurement error.</w:t>
      </w:r>
    </w:p>
    <w:p w14:paraId="527C8AF0"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lastRenderedPageBreak/>
        <w:t xml:space="preserve">Three consequences follow for how the evidence on this instrument should be read, and they matter because the </w:t>
      </w:r>
      <w:proofErr w:type="spellStart"/>
      <w:r w:rsidRPr="00C058B7">
        <w:rPr>
          <w:rFonts w:ascii="Times New Roman" w:eastAsia="Times New Roman" w:hAnsi="Times New Roman"/>
          <w:sz w:val="24"/>
          <w:szCs w:val="24"/>
        </w:rPr>
        <w:t>favourable</w:t>
      </w:r>
      <w:proofErr w:type="spellEnd"/>
      <w:r w:rsidRPr="00C058B7">
        <w:rPr>
          <w:rFonts w:ascii="Times New Roman" w:eastAsia="Times New Roman" w:hAnsi="Times New Roman"/>
          <w:sz w:val="24"/>
          <w:szCs w:val="24"/>
        </w:rPr>
        <w:t xml:space="preserve"> and </w:t>
      </w:r>
      <w:proofErr w:type="spellStart"/>
      <w:r w:rsidRPr="00C058B7">
        <w:rPr>
          <w:rFonts w:ascii="Times New Roman" w:eastAsia="Times New Roman" w:hAnsi="Times New Roman"/>
          <w:sz w:val="24"/>
          <w:szCs w:val="24"/>
        </w:rPr>
        <w:t>unfavourable</w:t>
      </w:r>
      <w:proofErr w:type="spellEnd"/>
      <w:r w:rsidRPr="00C058B7">
        <w:rPr>
          <w:rFonts w:ascii="Times New Roman" w:eastAsia="Times New Roman" w:hAnsi="Times New Roman"/>
          <w:sz w:val="24"/>
          <w:szCs w:val="24"/>
        </w:rPr>
        <w:t xml:space="preserve"> findings concern different properties.</w:t>
      </w:r>
    </w:p>
    <w:p w14:paraId="0EEAEDEF"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The first is that a summary verdict of strong construct validity and reliability conceals an uneven distribution. The </w:t>
      </w:r>
      <w:proofErr w:type="spellStart"/>
      <w:r w:rsidRPr="00C058B7">
        <w:rPr>
          <w:rFonts w:ascii="Times New Roman" w:eastAsia="Times New Roman" w:hAnsi="Times New Roman"/>
          <w:sz w:val="24"/>
          <w:szCs w:val="24"/>
        </w:rPr>
        <w:t>favourable</w:t>
      </w:r>
      <w:proofErr w:type="spellEnd"/>
      <w:r w:rsidRPr="00C058B7">
        <w:rPr>
          <w:rFonts w:ascii="Times New Roman" w:eastAsia="Times New Roman" w:hAnsi="Times New Roman"/>
          <w:sz w:val="24"/>
          <w:szCs w:val="24"/>
        </w:rPr>
        <w:t xml:space="preserve"> ratings are concentrated in internal consistency, rated Very Good or Adequate in fifteen of fifteen studies, and structural validity, in fourteen of fourteen. Within the same construct-validity domain, hypotheses testing is weaker and unevenly so: convergent validity was rated adequate in six of seven studies but known-group validity in only two of seven (</w:t>
      </w:r>
      <w:proofErr w:type="spellStart"/>
      <w:r w:rsidRPr="00C058B7">
        <w:rPr>
          <w:rFonts w:ascii="Times New Roman" w:eastAsia="Times New Roman" w:hAnsi="Times New Roman"/>
          <w:sz w:val="24"/>
          <w:szCs w:val="24"/>
        </w:rPr>
        <w:t>ElKhalil</w:t>
      </w:r>
      <w:proofErr w:type="spellEnd"/>
      <w:r w:rsidRPr="00C058B7">
        <w:rPr>
          <w:rFonts w:ascii="Times New Roman" w:eastAsia="Times New Roman" w:hAnsi="Times New Roman"/>
          <w:sz w:val="24"/>
          <w:szCs w:val="24"/>
        </w:rPr>
        <w:t xml:space="preserve"> et al., 2024). And content validity, the property that asks whether these items suit these people, lies outside construct validity altogether. It is therefore not a qualification of the </w:t>
      </w:r>
      <w:proofErr w:type="spellStart"/>
      <w:r w:rsidRPr="00C058B7">
        <w:rPr>
          <w:rFonts w:ascii="Times New Roman" w:eastAsia="Times New Roman" w:hAnsi="Times New Roman"/>
          <w:sz w:val="24"/>
          <w:szCs w:val="24"/>
        </w:rPr>
        <w:t>favourable</w:t>
      </w:r>
      <w:proofErr w:type="spellEnd"/>
      <w:r w:rsidRPr="00C058B7">
        <w:rPr>
          <w:rFonts w:ascii="Times New Roman" w:eastAsia="Times New Roman" w:hAnsi="Times New Roman"/>
          <w:sz w:val="24"/>
          <w:szCs w:val="24"/>
        </w:rPr>
        <w:t xml:space="preserve"> verdict but a different question, which the </w:t>
      </w:r>
      <w:proofErr w:type="spellStart"/>
      <w:r w:rsidRPr="00C058B7">
        <w:rPr>
          <w:rFonts w:ascii="Times New Roman" w:eastAsia="Times New Roman" w:hAnsi="Times New Roman"/>
          <w:sz w:val="24"/>
          <w:szCs w:val="24"/>
        </w:rPr>
        <w:t>favourable</w:t>
      </w:r>
      <w:proofErr w:type="spellEnd"/>
      <w:r w:rsidRPr="00C058B7">
        <w:rPr>
          <w:rFonts w:ascii="Times New Roman" w:eastAsia="Times New Roman" w:hAnsi="Times New Roman"/>
          <w:sz w:val="24"/>
          <w:szCs w:val="24"/>
        </w:rPr>
        <w:t xml:space="preserve"> verdict does not address.</w:t>
      </w:r>
    </w:p>
    <w:p w14:paraId="65B6AE02"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The second concerns what the content-validity finding does and does not say. The COSMIN counts are ratings of the methodological quality of studies, not verdicts on the instrument. That content validity was assessed in eight of the sixteen validation studies, that one of those eight was rated Very Good or Adequate, and that the quality of evidence for the domain was rated limited, together support the statement that the instrument’s content validity is scarcely evidenced. They do not support the stronger statement that it is poor. The weaker claim is the one this review advances, and it is sufficient: an instrument whose population-facing property has hardly been examined anywhere is not thereby licensed for a population in which it has not been examined at all.</w:t>
      </w:r>
    </w:p>
    <w:p w14:paraId="2C3E67CE"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The third concerns translation, and it sharpens a condition set out below. Translation is not a measurement property. It belongs to the development of a new version of an instrument, and its quality bears on measurement only through what follows from it: a cross-cultural validity claim about the resulting version cannot be interpreted if the procedure that produced the version is not reported. This is why the finding that translation procedures in this literature are generally reported inadequately (Cork et al., 2019) is a finding about evidence rather than about etiquette. The related finding that too few same-language versions existed to permit statistical pooling (</w:t>
      </w:r>
      <w:proofErr w:type="spellStart"/>
      <w:r w:rsidRPr="00C058B7">
        <w:rPr>
          <w:rFonts w:ascii="Times New Roman" w:eastAsia="Times New Roman" w:hAnsi="Times New Roman"/>
          <w:sz w:val="24"/>
          <w:szCs w:val="24"/>
        </w:rPr>
        <w:t>ElKhalil</w:t>
      </w:r>
      <w:proofErr w:type="spellEnd"/>
      <w:r w:rsidRPr="00C058B7">
        <w:rPr>
          <w:rFonts w:ascii="Times New Roman" w:eastAsia="Times New Roman" w:hAnsi="Times New Roman"/>
          <w:sz w:val="24"/>
          <w:szCs w:val="24"/>
        </w:rPr>
        <w:t xml:space="preserve"> et al., 2024) is, in the same vocabulary, an absence of measurement-invariance evidence across versions.</w:t>
      </w:r>
    </w:p>
    <w:p w14:paraId="712124F2"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A fourth point follows for the research agenda proposed later. Criterion validity does not appear among the domains rated in the systematic review, and cannot readily be established for this construct, because mental health literacy has no gold standard against which scores could be compared. Where no gold standard exists, the construct approach substitutes: validation proceeds by testing hypotheses about convergence with related measures and about differences between groups expected to differ. The contrast with the Shona Symptom Questionnaire is instructive. That instrument could be reduced against a criterion, the agreement of care-provider assessment and psychiatric interview, because a criterion for </w:t>
      </w:r>
      <w:proofErr w:type="spellStart"/>
      <w:r w:rsidRPr="00C058B7">
        <w:rPr>
          <w:rFonts w:ascii="Times New Roman" w:eastAsia="Times New Roman" w:hAnsi="Times New Roman"/>
          <w:sz w:val="24"/>
          <w:szCs w:val="24"/>
        </w:rPr>
        <w:t>caseness</w:t>
      </w:r>
      <w:proofErr w:type="spellEnd"/>
      <w:r w:rsidRPr="00C058B7">
        <w:rPr>
          <w:rFonts w:ascii="Times New Roman" w:eastAsia="Times New Roman" w:hAnsi="Times New Roman"/>
          <w:sz w:val="24"/>
          <w:szCs w:val="24"/>
        </w:rPr>
        <w:t xml:space="preserve"> existed (Patel et al., 1997). A literacy instrument has no equivalent, which constrains what its validation can promise and makes the specification of hypotheses a design obligation rather than a formality.</w:t>
      </w:r>
    </w:p>
    <w:p w14:paraId="1F935353"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4"/>
          <w:szCs w:val="24"/>
        </w:rPr>
        <w:t>Table 1. Measurement properties, the questions they ask, and their status for the Mental Health Literacy Scale</w:t>
      </w:r>
    </w:p>
    <w:tbl>
      <w:tblPr>
        <w:tblW w:w="939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6"/>
        <w:gridCol w:w="2404"/>
        <w:gridCol w:w="3079"/>
        <w:gridCol w:w="2736"/>
      </w:tblGrid>
      <w:tr w:rsidR="00C058B7" w:rsidRPr="00C058B7" w14:paraId="197B81EB" w14:textId="77777777" w:rsidTr="00C058B7">
        <w:trPr>
          <w:trHeight w:val="330"/>
        </w:trPr>
        <w:tc>
          <w:tcPr>
            <w:tcW w:w="1171" w:type="dxa"/>
            <w:shd w:val="clear" w:color="000000" w:fill="E8E8E8"/>
            <w:noWrap/>
            <w:hideMark/>
          </w:tcPr>
          <w:p w14:paraId="71F050EB" w14:textId="77777777" w:rsidR="00C058B7" w:rsidRPr="00C058B7" w:rsidRDefault="00C058B7" w:rsidP="00C058B7">
            <w:pPr>
              <w:spacing w:after="0" w:line="240" w:lineRule="auto"/>
              <w:rPr>
                <w:rFonts w:ascii="Times New Roman" w:eastAsia="Times New Roman" w:hAnsi="Times New Roman"/>
                <w:b/>
                <w:bCs/>
                <w:color w:val="000000"/>
                <w:sz w:val="24"/>
                <w:szCs w:val="24"/>
              </w:rPr>
            </w:pPr>
            <w:r w:rsidRPr="00C058B7">
              <w:rPr>
                <w:rFonts w:ascii="Times New Roman" w:eastAsia="Times New Roman" w:hAnsi="Times New Roman"/>
                <w:b/>
                <w:bCs/>
                <w:color w:val="000000"/>
                <w:sz w:val="24"/>
                <w:szCs w:val="24"/>
              </w:rPr>
              <w:t>Property</w:t>
            </w:r>
          </w:p>
        </w:tc>
        <w:tc>
          <w:tcPr>
            <w:tcW w:w="2404" w:type="dxa"/>
            <w:shd w:val="clear" w:color="000000" w:fill="E8E8E8"/>
            <w:noWrap/>
            <w:hideMark/>
          </w:tcPr>
          <w:p w14:paraId="2B5D494C" w14:textId="77777777" w:rsidR="00C058B7" w:rsidRPr="00C058B7" w:rsidRDefault="00C058B7" w:rsidP="00C058B7">
            <w:pPr>
              <w:spacing w:after="0" w:line="240" w:lineRule="auto"/>
              <w:rPr>
                <w:rFonts w:ascii="Times New Roman" w:eastAsia="Times New Roman" w:hAnsi="Times New Roman"/>
                <w:b/>
                <w:bCs/>
                <w:color w:val="000000"/>
                <w:sz w:val="24"/>
                <w:szCs w:val="24"/>
              </w:rPr>
            </w:pPr>
            <w:r w:rsidRPr="00C058B7">
              <w:rPr>
                <w:rFonts w:ascii="Times New Roman" w:eastAsia="Times New Roman" w:hAnsi="Times New Roman"/>
                <w:b/>
                <w:bCs/>
                <w:color w:val="000000"/>
                <w:sz w:val="24"/>
                <w:szCs w:val="24"/>
              </w:rPr>
              <w:t>The question it asks</w:t>
            </w:r>
          </w:p>
        </w:tc>
        <w:tc>
          <w:tcPr>
            <w:tcW w:w="3079" w:type="dxa"/>
            <w:shd w:val="clear" w:color="000000" w:fill="E8E8E8"/>
            <w:noWrap/>
            <w:hideMark/>
          </w:tcPr>
          <w:p w14:paraId="34D1C140" w14:textId="77777777" w:rsidR="00C058B7" w:rsidRPr="00C058B7" w:rsidRDefault="00C058B7" w:rsidP="00C058B7">
            <w:pPr>
              <w:spacing w:after="0" w:line="240" w:lineRule="auto"/>
              <w:rPr>
                <w:rFonts w:ascii="Times New Roman" w:eastAsia="Times New Roman" w:hAnsi="Times New Roman"/>
                <w:b/>
                <w:bCs/>
                <w:color w:val="000000"/>
                <w:sz w:val="24"/>
                <w:szCs w:val="24"/>
              </w:rPr>
            </w:pPr>
            <w:r w:rsidRPr="00C058B7">
              <w:rPr>
                <w:rFonts w:ascii="Times New Roman" w:eastAsia="Times New Roman" w:hAnsi="Times New Roman"/>
                <w:b/>
                <w:bCs/>
                <w:color w:val="000000"/>
                <w:sz w:val="24"/>
                <w:szCs w:val="24"/>
              </w:rPr>
              <w:t>State of the evidence for the MHLS</w:t>
            </w:r>
          </w:p>
        </w:tc>
        <w:tc>
          <w:tcPr>
            <w:tcW w:w="2736" w:type="dxa"/>
            <w:shd w:val="clear" w:color="000000" w:fill="E8E8E8"/>
            <w:noWrap/>
            <w:hideMark/>
          </w:tcPr>
          <w:p w14:paraId="6DEF8984" w14:textId="77777777" w:rsidR="00C058B7" w:rsidRPr="00C058B7" w:rsidRDefault="00C058B7" w:rsidP="00C058B7">
            <w:pPr>
              <w:spacing w:after="0" w:line="240" w:lineRule="auto"/>
              <w:rPr>
                <w:rFonts w:ascii="Times New Roman" w:eastAsia="Times New Roman" w:hAnsi="Times New Roman"/>
                <w:b/>
                <w:bCs/>
                <w:color w:val="000000"/>
                <w:sz w:val="24"/>
                <w:szCs w:val="24"/>
              </w:rPr>
            </w:pPr>
            <w:r w:rsidRPr="00C058B7">
              <w:rPr>
                <w:rFonts w:ascii="Times New Roman" w:eastAsia="Times New Roman" w:hAnsi="Times New Roman"/>
                <w:b/>
                <w:bCs/>
                <w:color w:val="000000"/>
                <w:sz w:val="24"/>
                <w:szCs w:val="24"/>
              </w:rPr>
              <w:t>Status for this population</w:t>
            </w:r>
          </w:p>
        </w:tc>
      </w:tr>
      <w:tr w:rsidR="00C058B7" w:rsidRPr="00C058B7" w14:paraId="644CA670" w14:textId="77777777" w:rsidTr="00C058B7">
        <w:trPr>
          <w:trHeight w:val="330"/>
        </w:trPr>
        <w:tc>
          <w:tcPr>
            <w:tcW w:w="1171" w:type="dxa"/>
            <w:noWrap/>
            <w:hideMark/>
          </w:tcPr>
          <w:p w14:paraId="3233DCAE"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Content validity</w:t>
            </w:r>
          </w:p>
        </w:tc>
        <w:tc>
          <w:tcPr>
            <w:tcW w:w="2404" w:type="dxa"/>
            <w:noWrap/>
            <w:hideMark/>
          </w:tcPr>
          <w:p w14:paraId="0AA5BD8E"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Do these items, for these people, adequately reflect the construct — in relevance, comprehensiveness and comprehensibility?</w:t>
            </w:r>
          </w:p>
        </w:tc>
        <w:tc>
          <w:tcPr>
            <w:tcW w:w="3079" w:type="dxa"/>
            <w:noWrap/>
            <w:hideMark/>
          </w:tcPr>
          <w:p w14:paraId="1365A8DC"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Assessed in 8 of 16 validation studies; 1 of those 8 rated Very Good or Adequate on risk of bias, with the quality of evidence rated limited (</w:t>
            </w:r>
            <w:proofErr w:type="spellStart"/>
            <w:r w:rsidRPr="00C058B7">
              <w:rPr>
                <w:rFonts w:ascii="Times New Roman" w:eastAsia="Times New Roman" w:hAnsi="Times New Roman"/>
                <w:color w:val="000000"/>
                <w:sz w:val="24"/>
                <w:szCs w:val="24"/>
              </w:rPr>
              <w:t>ElKhalil</w:t>
            </w:r>
            <w:proofErr w:type="spellEnd"/>
            <w:r w:rsidRPr="00C058B7">
              <w:rPr>
                <w:rFonts w:ascii="Times New Roman" w:eastAsia="Times New Roman" w:hAnsi="Times New Roman"/>
                <w:color w:val="000000"/>
                <w:sz w:val="24"/>
                <w:szCs w:val="24"/>
              </w:rPr>
              <w:t xml:space="preserve"> et al., 2024)</w:t>
            </w:r>
          </w:p>
        </w:tc>
        <w:tc>
          <w:tcPr>
            <w:tcW w:w="2736" w:type="dxa"/>
            <w:noWrap/>
            <w:hideMark/>
          </w:tcPr>
          <w:p w14:paraId="3E0BC335"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Not established. One regional exercise exists, in two other countries and a different occupational group (Korhonen et al., 2019)</w:t>
            </w:r>
          </w:p>
        </w:tc>
      </w:tr>
      <w:tr w:rsidR="00C058B7" w:rsidRPr="00C058B7" w14:paraId="191937B1" w14:textId="77777777" w:rsidTr="00C058B7">
        <w:trPr>
          <w:trHeight w:val="330"/>
        </w:trPr>
        <w:tc>
          <w:tcPr>
            <w:tcW w:w="1171" w:type="dxa"/>
            <w:noWrap/>
            <w:hideMark/>
          </w:tcPr>
          <w:p w14:paraId="6B99FCE3"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 xml:space="preserve">Structural validity </w:t>
            </w:r>
            <w:r w:rsidRPr="00C058B7">
              <w:rPr>
                <w:rFonts w:ascii="Times New Roman" w:eastAsia="Times New Roman" w:hAnsi="Times New Roman"/>
                <w:color w:val="000000"/>
                <w:sz w:val="24"/>
                <w:szCs w:val="24"/>
              </w:rPr>
              <w:lastRenderedPageBreak/>
              <w:t>(construct)</w:t>
            </w:r>
          </w:p>
        </w:tc>
        <w:tc>
          <w:tcPr>
            <w:tcW w:w="2404" w:type="dxa"/>
            <w:noWrap/>
            <w:hideMark/>
          </w:tcPr>
          <w:p w14:paraId="0D878761"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lastRenderedPageBreak/>
              <w:t xml:space="preserve">Do scores reflect the dimensionality of the </w:t>
            </w:r>
            <w:r w:rsidRPr="00C058B7">
              <w:rPr>
                <w:rFonts w:ascii="Times New Roman" w:eastAsia="Times New Roman" w:hAnsi="Times New Roman"/>
                <w:color w:val="000000"/>
                <w:sz w:val="24"/>
                <w:szCs w:val="24"/>
              </w:rPr>
              <w:lastRenderedPageBreak/>
              <w:t>construct?</w:t>
            </w:r>
          </w:p>
        </w:tc>
        <w:tc>
          <w:tcPr>
            <w:tcW w:w="3079" w:type="dxa"/>
            <w:noWrap/>
            <w:hideMark/>
          </w:tcPr>
          <w:p w14:paraId="236151E8"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lastRenderedPageBreak/>
              <w:t xml:space="preserve">Assessed in 14 studies, all rated Very Good or </w:t>
            </w:r>
            <w:r w:rsidRPr="00C058B7">
              <w:rPr>
                <w:rFonts w:ascii="Times New Roman" w:eastAsia="Times New Roman" w:hAnsi="Times New Roman"/>
                <w:color w:val="000000"/>
                <w:sz w:val="24"/>
                <w:szCs w:val="24"/>
              </w:rPr>
              <w:lastRenderedPageBreak/>
              <w:t>Adequate; modal solutions four-factor (35.7%) and unidimensional (28.6%)</w:t>
            </w:r>
          </w:p>
        </w:tc>
        <w:tc>
          <w:tcPr>
            <w:tcW w:w="2736" w:type="dxa"/>
            <w:noWrap/>
            <w:hideMark/>
          </w:tcPr>
          <w:p w14:paraId="678FF790"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lastRenderedPageBreak/>
              <w:t xml:space="preserve">Unknown. Dimensionality has varied </w:t>
            </w:r>
            <w:r w:rsidRPr="00C058B7">
              <w:rPr>
                <w:rFonts w:ascii="Times New Roman" w:eastAsia="Times New Roman" w:hAnsi="Times New Roman"/>
                <w:color w:val="000000"/>
                <w:sz w:val="24"/>
                <w:szCs w:val="24"/>
              </w:rPr>
              <w:lastRenderedPageBreak/>
              <w:t>by sample wherever it has been examined</w:t>
            </w:r>
          </w:p>
        </w:tc>
      </w:tr>
      <w:tr w:rsidR="00C058B7" w:rsidRPr="00C058B7" w14:paraId="3F26CFDA" w14:textId="77777777" w:rsidTr="00C058B7">
        <w:trPr>
          <w:trHeight w:val="330"/>
        </w:trPr>
        <w:tc>
          <w:tcPr>
            <w:tcW w:w="1171" w:type="dxa"/>
            <w:noWrap/>
            <w:hideMark/>
          </w:tcPr>
          <w:p w14:paraId="777A35BF"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lastRenderedPageBreak/>
              <w:t>Hypotheses testing (construct)</w:t>
            </w:r>
          </w:p>
        </w:tc>
        <w:tc>
          <w:tcPr>
            <w:tcW w:w="2404" w:type="dxa"/>
            <w:noWrap/>
            <w:hideMark/>
          </w:tcPr>
          <w:p w14:paraId="266CE649"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Do relationships with other variables, and differences between known groups, behave as predicted?</w:t>
            </w:r>
          </w:p>
        </w:tc>
        <w:tc>
          <w:tcPr>
            <w:tcW w:w="3079" w:type="dxa"/>
            <w:noWrap/>
            <w:hideMark/>
          </w:tcPr>
          <w:p w14:paraId="3ACB48C6"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Convergent validity rated adequate in 6 of 7 studies; known-group validity in 2 of 7</w:t>
            </w:r>
          </w:p>
        </w:tc>
        <w:tc>
          <w:tcPr>
            <w:tcW w:w="2736" w:type="dxa"/>
            <w:noWrap/>
            <w:hideMark/>
          </w:tcPr>
          <w:p w14:paraId="23B3ADFF"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One Zimbabwean occupational application reports an inverse association with stigma (</w:t>
            </w:r>
            <w:proofErr w:type="spellStart"/>
            <w:r w:rsidRPr="00C058B7">
              <w:rPr>
                <w:rFonts w:ascii="Times New Roman" w:eastAsia="Times New Roman" w:hAnsi="Times New Roman"/>
                <w:color w:val="000000"/>
                <w:sz w:val="24"/>
                <w:szCs w:val="24"/>
              </w:rPr>
              <w:t>Chiobvu</w:t>
            </w:r>
            <w:proofErr w:type="spellEnd"/>
            <w:r w:rsidRPr="00C058B7">
              <w:rPr>
                <w:rFonts w:ascii="Times New Roman" w:eastAsia="Times New Roman" w:hAnsi="Times New Roman"/>
                <w:color w:val="000000"/>
                <w:sz w:val="24"/>
                <w:szCs w:val="24"/>
              </w:rPr>
              <w:t xml:space="preserve"> et al., 2025), on an untranslated administration</w:t>
            </w:r>
          </w:p>
        </w:tc>
      </w:tr>
      <w:tr w:rsidR="00C058B7" w:rsidRPr="00C058B7" w14:paraId="5A2650F2" w14:textId="77777777" w:rsidTr="00C058B7">
        <w:trPr>
          <w:trHeight w:val="330"/>
        </w:trPr>
        <w:tc>
          <w:tcPr>
            <w:tcW w:w="1171" w:type="dxa"/>
            <w:noWrap/>
            <w:hideMark/>
          </w:tcPr>
          <w:p w14:paraId="4F00AB39"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Cross-cultural validity / measurement invariance (construct)</w:t>
            </w:r>
          </w:p>
        </w:tc>
        <w:tc>
          <w:tcPr>
            <w:tcW w:w="2404" w:type="dxa"/>
            <w:noWrap/>
            <w:hideMark/>
          </w:tcPr>
          <w:p w14:paraId="67B5790E"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Do items on a translated or adapted version perform as they do in the original?</w:t>
            </w:r>
          </w:p>
        </w:tc>
        <w:tc>
          <w:tcPr>
            <w:tcW w:w="3079" w:type="dxa"/>
            <w:noWrap/>
            <w:hideMark/>
          </w:tcPr>
          <w:p w14:paraId="37F1F5A3"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Not demonstrated across versions: too few same-language versions existed to permit statistical pooling (</w:t>
            </w:r>
            <w:proofErr w:type="spellStart"/>
            <w:r w:rsidRPr="00C058B7">
              <w:rPr>
                <w:rFonts w:ascii="Times New Roman" w:eastAsia="Times New Roman" w:hAnsi="Times New Roman"/>
                <w:color w:val="000000"/>
                <w:sz w:val="24"/>
                <w:szCs w:val="24"/>
              </w:rPr>
              <w:t>ElKhalil</w:t>
            </w:r>
            <w:proofErr w:type="spellEnd"/>
            <w:r w:rsidRPr="00C058B7">
              <w:rPr>
                <w:rFonts w:ascii="Times New Roman" w:eastAsia="Times New Roman" w:hAnsi="Times New Roman"/>
                <w:color w:val="000000"/>
                <w:sz w:val="24"/>
                <w:szCs w:val="24"/>
              </w:rPr>
              <w:t xml:space="preserve"> et al., 2024)</w:t>
            </w:r>
          </w:p>
        </w:tc>
        <w:tc>
          <w:tcPr>
            <w:tcW w:w="2736" w:type="dxa"/>
            <w:noWrap/>
            <w:hideMark/>
          </w:tcPr>
          <w:p w14:paraId="5869491A"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Not established for any Zimbabwean language. No Shona or Ndebele version was located</w:t>
            </w:r>
          </w:p>
        </w:tc>
      </w:tr>
      <w:tr w:rsidR="00C058B7" w:rsidRPr="00C058B7" w14:paraId="2B0EF3C7" w14:textId="77777777" w:rsidTr="00C058B7">
        <w:trPr>
          <w:trHeight w:val="330"/>
        </w:trPr>
        <w:tc>
          <w:tcPr>
            <w:tcW w:w="1171" w:type="dxa"/>
            <w:noWrap/>
            <w:hideMark/>
          </w:tcPr>
          <w:p w14:paraId="0AFC4057"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Criterion validity</w:t>
            </w:r>
          </w:p>
        </w:tc>
        <w:tc>
          <w:tcPr>
            <w:tcW w:w="2404" w:type="dxa"/>
            <w:noWrap/>
            <w:hideMark/>
          </w:tcPr>
          <w:p w14:paraId="0A3CF6B7"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Do scores adequately reflect a gold standard?</w:t>
            </w:r>
          </w:p>
        </w:tc>
        <w:tc>
          <w:tcPr>
            <w:tcW w:w="3079" w:type="dxa"/>
            <w:noWrap/>
            <w:hideMark/>
          </w:tcPr>
          <w:p w14:paraId="5FD18B4B"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Does not appear among the domains rated in the systematic review; no included study reported it</w:t>
            </w:r>
          </w:p>
        </w:tc>
        <w:tc>
          <w:tcPr>
            <w:tcW w:w="2736" w:type="dxa"/>
            <w:noWrap/>
            <w:hideMark/>
          </w:tcPr>
          <w:p w14:paraId="04D99AA9"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Not obtainable as such. No gold standard for mental health literacy exists, so the construct approach must substitute</w:t>
            </w:r>
          </w:p>
        </w:tc>
      </w:tr>
      <w:tr w:rsidR="00C058B7" w:rsidRPr="00C058B7" w14:paraId="32ADA394" w14:textId="77777777" w:rsidTr="00C058B7">
        <w:trPr>
          <w:trHeight w:val="330"/>
        </w:trPr>
        <w:tc>
          <w:tcPr>
            <w:tcW w:w="1171" w:type="dxa"/>
            <w:noWrap/>
            <w:hideMark/>
          </w:tcPr>
          <w:p w14:paraId="77AADD7A"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Internal consistency (reliability)</w:t>
            </w:r>
          </w:p>
        </w:tc>
        <w:tc>
          <w:tcPr>
            <w:tcW w:w="2404" w:type="dxa"/>
            <w:noWrap/>
            <w:hideMark/>
          </w:tcPr>
          <w:p w14:paraId="70FF7665"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How interrelated are the items?</w:t>
            </w:r>
          </w:p>
        </w:tc>
        <w:tc>
          <w:tcPr>
            <w:tcW w:w="3079" w:type="dxa"/>
            <w:noWrap/>
            <w:hideMark/>
          </w:tcPr>
          <w:p w14:paraId="136E023F"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Rated Very Good or Adequate in 15 of 15 studies; alpha 0.720 to 0.890</w:t>
            </w:r>
          </w:p>
        </w:tc>
        <w:tc>
          <w:tcPr>
            <w:tcW w:w="2736" w:type="dxa"/>
            <w:noWrap/>
            <w:hideMark/>
          </w:tcPr>
          <w:p w14:paraId="7E58E09B"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Unknown, and the least informative of the open questions</w:t>
            </w:r>
          </w:p>
        </w:tc>
      </w:tr>
      <w:tr w:rsidR="00C058B7" w:rsidRPr="00C058B7" w14:paraId="45EBD3F6" w14:textId="77777777" w:rsidTr="00C058B7">
        <w:trPr>
          <w:trHeight w:val="330"/>
        </w:trPr>
        <w:tc>
          <w:tcPr>
            <w:tcW w:w="1171" w:type="dxa"/>
            <w:noWrap/>
            <w:hideMark/>
          </w:tcPr>
          <w:p w14:paraId="4A69359D"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Reliability and measurement error</w:t>
            </w:r>
          </w:p>
        </w:tc>
        <w:tc>
          <w:tcPr>
            <w:tcW w:w="2404" w:type="dxa"/>
            <w:noWrap/>
            <w:hideMark/>
          </w:tcPr>
          <w:p w14:paraId="413AA180"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What proportion of score variance is true difference, and how large is the error?</w:t>
            </w:r>
          </w:p>
        </w:tc>
        <w:tc>
          <w:tcPr>
            <w:tcW w:w="3079" w:type="dxa"/>
            <w:noWrap/>
            <w:hideMark/>
          </w:tcPr>
          <w:p w14:paraId="015280B3"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Reliability rated adequate in 3 of 6 studies, ICC 0.741 to 0.99; measurement error rated in one study and not rated adequate</w:t>
            </w:r>
          </w:p>
        </w:tc>
        <w:tc>
          <w:tcPr>
            <w:tcW w:w="2736" w:type="dxa"/>
            <w:noWrap/>
            <w:hideMark/>
          </w:tcPr>
          <w:p w14:paraId="551FF44B"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Unknown</w:t>
            </w:r>
          </w:p>
        </w:tc>
      </w:tr>
    </w:tbl>
    <w:p w14:paraId="032F6D32" w14:textId="77777777" w:rsidR="00C058B7" w:rsidRPr="00C058B7" w:rsidRDefault="00C058B7" w:rsidP="00C058B7">
      <w:pPr>
        <w:spacing w:before="240" w:after="240" w:line="240" w:lineRule="auto"/>
        <w:jc w:val="both"/>
        <w:rPr>
          <w:rFonts w:ascii="Times New Roman" w:hAnsi="Times New Roman"/>
          <w:sz w:val="24"/>
          <w:szCs w:val="24"/>
        </w:rPr>
      </w:pPr>
      <w:r w:rsidRPr="00C058B7">
        <w:rPr>
          <w:rFonts w:ascii="Times New Roman" w:eastAsia="Times New Roman" w:hAnsi="Times New Roman"/>
          <w:i/>
          <w:iCs/>
          <w:sz w:val="24"/>
          <w:szCs w:val="24"/>
        </w:rPr>
        <w:t xml:space="preserve">Note. Property definitions follow </w:t>
      </w:r>
      <w:proofErr w:type="spellStart"/>
      <w:r w:rsidRPr="00C058B7">
        <w:rPr>
          <w:rFonts w:ascii="Times New Roman" w:eastAsia="Times New Roman" w:hAnsi="Times New Roman"/>
          <w:i/>
          <w:iCs/>
          <w:sz w:val="24"/>
          <w:szCs w:val="24"/>
        </w:rPr>
        <w:t>Mokkink</w:t>
      </w:r>
      <w:proofErr w:type="spellEnd"/>
      <w:r w:rsidRPr="00C058B7">
        <w:rPr>
          <w:rFonts w:ascii="Times New Roman" w:eastAsia="Times New Roman" w:hAnsi="Times New Roman"/>
          <w:i/>
          <w:iCs/>
          <w:sz w:val="24"/>
          <w:szCs w:val="24"/>
        </w:rPr>
        <w:t xml:space="preserve"> et al. (2010) and, for content validity, </w:t>
      </w:r>
      <w:proofErr w:type="spellStart"/>
      <w:r w:rsidRPr="00C058B7">
        <w:rPr>
          <w:rFonts w:ascii="Times New Roman" w:eastAsia="Times New Roman" w:hAnsi="Times New Roman"/>
          <w:i/>
          <w:iCs/>
          <w:sz w:val="24"/>
          <w:szCs w:val="24"/>
        </w:rPr>
        <w:t>Terwee</w:t>
      </w:r>
      <w:proofErr w:type="spellEnd"/>
      <w:r w:rsidRPr="00C058B7">
        <w:rPr>
          <w:rFonts w:ascii="Times New Roman" w:eastAsia="Times New Roman" w:hAnsi="Times New Roman"/>
          <w:i/>
          <w:iCs/>
          <w:sz w:val="24"/>
          <w:szCs w:val="24"/>
        </w:rPr>
        <w:t xml:space="preserve"> et al. (2018). Counts of studies rated Very Good or Adequate are COSMIN risk-of-bias ratings of methodological quality reported by </w:t>
      </w:r>
      <w:proofErr w:type="spellStart"/>
      <w:r w:rsidRPr="00C058B7">
        <w:rPr>
          <w:rFonts w:ascii="Times New Roman" w:eastAsia="Times New Roman" w:hAnsi="Times New Roman"/>
          <w:i/>
          <w:iCs/>
          <w:sz w:val="24"/>
          <w:szCs w:val="24"/>
        </w:rPr>
        <w:t>ElKhalil</w:t>
      </w:r>
      <w:proofErr w:type="spellEnd"/>
      <w:r w:rsidRPr="00C058B7">
        <w:rPr>
          <w:rFonts w:ascii="Times New Roman" w:eastAsia="Times New Roman" w:hAnsi="Times New Roman"/>
          <w:i/>
          <w:iCs/>
          <w:sz w:val="24"/>
          <w:szCs w:val="24"/>
        </w:rPr>
        <w:t xml:space="preserve"> et al. (2024), not judgements that a property is satisfied. MHLS = Mental Health Literacy Scale; ICC = intraclass correlation coefficient.</w:t>
      </w:r>
    </w:p>
    <w:p w14:paraId="4D7CCF0F"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Read through this vocabulary, the position of the present review can be stated exactly. The instrument is well evidenced on the properties that concern its internal </w:t>
      </w:r>
      <w:proofErr w:type="spellStart"/>
      <w:r w:rsidRPr="00C058B7">
        <w:rPr>
          <w:rFonts w:ascii="Times New Roman" w:eastAsia="Times New Roman" w:hAnsi="Times New Roman"/>
          <w:sz w:val="24"/>
          <w:szCs w:val="24"/>
        </w:rPr>
        <w:t>behaviour</w:t>
      </w:r>
      <w:proofErr w:type="spellEnd"/>
      <w:r w:rsidRPr="00C058B7">
        <w:rPr>
          <w:rFonts w:ascii="Times New Roman" w:eastAsia="Times New Roman" w:hAnsi="Times New Roman"/>
          <w:sz w:val="24"/>
          <w:szCs w:val="24"/>
        </w:rPr>
        <w:t xml:space="preserve"> and thinly evidenced on the one property that concerns its fit to a population; it has no demonstrated invariance across language versions; and it has no criterion, so its validation in a new setting must proceed by hypothesis. None of that indicts the instrument. It locates precisely which questions remain open in this workforce, and the remainder of this section addresses them in turn.</w:t>
      </w:r>
    </w:p>
    <w:p w14:paraId="48205F9F"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4"/>
          <w:szCs w:val="24"/>
        </w:rPr>
        <w:t>What the psychometric evidence establishes</w:t>
      </w:r>
    </w:p>
    <w:p w14:paraId="1D013A32"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The Mental Health Literacy Scale is the most extensively examined instrument in the field, and a recent systematic review provides the clearest account of its properties. Searching seven databases across the period from May 2015 to December 2023, the review screened 685 records and included 16 validation studies, appraising each against COSMIN risk-of-bias criteria (</w:t>
      </w:r>
      <w:proofErr w:type="spellStart"/>
      <w:r w:rsidRPr="00C058B7">
        <w:rPr>
          <w:rFonts w:ascii="Times New Roman" w:eastAsia="Times New Roman" w:hAnsi="Times New Roman"/>
          <w:sz w:val="24"/>
          <w:szCs w:val="24"/>
        </w:rPr>
        <w:t>ElKhalil</w:t>
      </w:r>
      <w:proofErr w:type="spellEnd"/>
      <w:r w:rsidRPr="00C058B7">
        <w:rPr>
          <w:rFonts w:ascii="Times New Roman" w:eastAsia="Times New Roman" w:hAnsi="Times New Roman"/>
          <w:sz w:val="24"/>
          <w:szCs w:val="24"/>
        </w:rPr>
        <w:t xml:space="preserve"> et al., 2024).</w:t>
      </w:r>
    </w:p>
    <w:p w14:paraId="53224510"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Its findings are, for the most part, </w:t>
      </w:r>
      <w:proofErr w:type="spellStart"/>
      <w:r w:rsidRPr="00C058B7">
        <w:rPr>
          <w:rFonts w:ascii="Times New Roman" w:eastAsia="Times New Roman" w:hAnsi="Times New Roman"/>
          <w:sz w:val="24"/>
          <w:szCs w:val="24"/>
        </w:rPr>
        <w:t>favourable</w:t>
      </w:r>
      <w:proofErr w:type="spellEnd"/>
      <w:r w:rsidRPr="00C058B7">
        <w:rPr>
          <w:rFonts w:ascii="Times New Roman" w:eastAsia="Times New Roman" w:hAnsi="Times New Roman"/>
          <w:sz w:val="24"/>
          <w:szCs w:val="24"/>
        </w:rPr>
        <w:t xml:space="preserve">. Internal consistency was rated Very Good or Adequate in 15 of 15 studies and structural validity in 14 of 14, with Cronbach’s alpha ranging from 0.720 to 0.890 and intraclass correlation coefficients from 0.741 to 0.99. Within the construct-validity domain, hypotheses testing was more uneven: convergent validity was rated adequate in 6 of 7 studies and known-group validity in 2 of 7. The review concludes that the instrument demonstrates strong evidence of construct validity and reliability </w:t>
      </w:r>
      <w:r w:rsidRPr="00C058B7">
        <w:rPr>
          <w:rFonts w:ascii="Times New Roman" w:eastAsia="Times New Roman" w:hAnsi="Times New Roman"/>
          <w:sz w:val="24"/>
          <w:szCs w:val="24"/>
        </w:rPr>
        <w:lastRenderedPageBreak/>
        <w:t>(</w:t>
      </w:r>
      <w:proofErr w:type="spellStart"/>
      <w:r w:rsidRPr="00C058B7">
        <w:rPr>
          <w:rFonts w:ascii="Times New Roman" w:eastAsia="Times New Roman" w:hAnsi="Times New Roman"/>
          <w:sz w:val="24"/>
          <w:szCs w:val="24"/>
        </w:rPr>
        <w:t>ElKhalil</w:t>
      </w:r>
      <w:proofErr w:type="spellEnd"/>
      <w:r w:rsidRPr="00C058B7">
        <w:rPr>
          <w:rFonts w:ascii="Times New Roman" w:eastAsia="Times New Roman" w:hAnsi="Times New Roman"/>
          <w:sz w:val="24"/>
          <w:szCs w:val="24"/>
        </w:rPr>
        <w:t xml:space="preserve"> et al., 2024). Any argument that the instrument is simply unsound would have to contend with this, and the present review does not advance one.</w:t>
      </w:r>
    </w:p>
    <w:p w14:paraId="64C059CA"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Table 2 sets the instrument alongside the versions and comparators on which the remainder of this section draws. The entries were compiled from the primary report of each study and are comparative rather than systematically extracted; the Shona Symptom Questionnaire is included as an emic methodological comparator rather than as a candidate literacy instrument.</w:t>
      </w:r>
    </w:p>
    <w:p w14:paraId="42419890"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4"/>
          <w:szCs w:val="24"/>
        </w:rPr>
        <w:t>Table 2. Comparative evidence on mental health literacy and related instruments</w:t>
      </w:r>
    </w:p>
    <w:tbl>
      <w:tblPr>
        <w:tblW w:w="939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9"/>
        <w:gridCol w:w="1563"/>
        <w:gridCol w:w="1538"/>
        <w:gridCol w:w="2350"/>
        <w:gridCol w:w="1774"/>
        <w:gridCol w:w="2102"/>
      </w:tblGrid>
      <w:tr w:rsidR="00C058B7" w:rsidRPr="00C058B7" w14:paraId="5FF1A2E1" w14:textId="77777777" w:rsidTr="00C058B7">
        <w:trPr>
          <w:trHeight w:val="330"/>
        </w:trPr>
        <w:tc>
          <w:tcPr>
            <w:tcW w:w="1131" w:type="dxa"/>
            <w:shd w:val="clear" w:color="000000" w:fill="E8E8E8"/>
            <w:noWrap/>
            <w:hideMark/>
          </w:tcPr>
          <w:p w14:paraId="6986A1A7" w14:textId="77777777" w:rsidR="00C058B7" w:rsidRPr="00C058B7" w:rsidRDefault="00C058B7" w:rsidP="00C058B7">
            <w:pPr>
              <w:spacing w:after="0" w:line="240" w:lineRule="auto"/>
              <w:rPr>
                <w:rFonts w:ascii="Times New Roman" w:eastAsia="Times New Roman" w:hAnsi="Times New Roman"/>
                <w:b/>
                <w:bCs/>
                <w:color w:val="000000"/>
                <w:sz w:val="24"/>
                <w:szCs w:val="24"/>
              </w:rPr>
            </w:pPr>
            <w:r w:rsidRPr="00C058B7">
              <w:rPr>
                <w:rFonts w:ascii="Times New Roman" w:eastAsia="Times New Roman" w:hAnsi="Times New Roman"/>
                <w:b/>
                <w:bCs/>
                <w:color w:val="000000"/>
                <w:sz w:val="24"/>
                <w:szCs w:val="24"/>
              </w:rPr>
              <w:t>Instrument and version</w:t>
            </w:r>
          </w:p>
        </w:tc>
        <w:tc>
          <w:tcPr>
            <w:tcW w:w="1310" w:type="dxa"/>
            <w:shd w:val="clear" w:color="000000" w:fill="E8E8E8"/>
            <w:noWrap/>
            <w:hideMark/>
          </w:tcPr>
          <w:p w14:paraId="6CF47F99" w14:textId="77777777" w:rsidR="00C058B7" w:rsidRPr="00C058B7" w:rsidRDefault="00C058B7" w:rsidP="00C058B7">
            <w:pPr>
              <w:spacing w:after="0" w:line="240" w:lineRule="auto"/>
              <w:rPr>
                <w:rFonts w:ascii="Times New Roman" w:eastAsia="Times New Roman" w:hAnsi="Times New Roman"/>
                <w:b/>
                <w:bCs/>
                <w:color w:val="000000"/>
                <w:sz w:val="24"/>
                <w:szCs w:val="24"/>
              </w:rPr>
            </w:pPr>
            <w:r w:rsidRPr="00C058B7">
              <w:rPr>
                <w:rFonts w:ascii="Times New Roman" w:eastAsia="Times New Roman" w:hAnsi="Times New Roman"/>
                <w:b/>
                <w:bCs/>
                <w:color w:val="000000"/>
                <w:sz w:val="24"/>
                <w:szCs w:val="24"/>
              </w:rPr>
              <w:t>Population and sample</w:t>
            </w:r>
          </w:p>
        </w:tc>
        <w:tc>
          <w:tcPr>
            <w:tcW w:w="395" w:type="dxa"/>
            <w:shd w:val="clear" w:color="000000" w:fill="E8E8E8"/>
            <w:noWrap/>
            <w:hideMark/>
          </w:tcPr>
          <w:p w14:paraId="7ACFFB0D" w14:textId="77777777" w:rsidR="00C058B7" w:rsidRPr="00C058B7" w:rsidRDefault="00C058B7" w:rsidP="00C058B7">
            <w:pPr>
              <w:spacing w:after="0" w:line="240" w:lineRule="auto"/>
              <w:rPr>
                <w:rFonts w:ascii="Times New Roman" w:eastAsia="Times New Roman" w:hAnsi="Times New Roman"/>
                <w:b/>
                <w:bCs/>
                <w:color w:val="000000"/>
                <w:sz w:val="24"/>
                <w:szCs w:val="24"/>
              </w:rPr>
            </w:pPr>
            <w:r w:rsidRPr="00C058B7">
              <w:rPr>
                <w:rFonts w:ascii="Times New Roman" w:eastAsia="Times New Roman" w:hAnsi="Times New Roman"/>
                <w:b/>
                <w:bCs/>
                <w:color w:val="000000"/>
                <w:sz w:val="24"/>
                <w:szCs w:val="24"/>
              </w:rPr>
              <w:t>Country</w:t>
            </w:r>
          </w:p>
        </w:tc>
        <w:tc>
          <w:tcPr>
            <w:tcW w:w="2475" w:type="dxa"/>
            <w:shd w:val="clear" w:color="000000" w:fill="E8E8E8"/>
            <w:noWrap/>
            <w:hideMark/>
          </w:tcPr>
          <w:p w14:paraId="17DF2646" w14:textId="77777777" w:rsidR="00C058B7" w:rsidRPr="00C058B7" w:rsidRDefault="00C058B7" w:rsidP="00C058B7">
            <w:pPr>
              <w:spacing w:after="0" w:line="240" w:lineRule="auto"/>
              <w:rPr>
                <w:rFonts w:ascii="Times New Roman" w:eastAsia="Times New Roman" w:hAnsi="Times New Roman"/>
                <w:b/>
                <w:bCs/>
                <w:color w:val="000000"/>
                <w:sz w:val="24"/>
                <w:szCs w:val="24"/>
              </w:rPr>
            </w:pPr>
            <w:r w:rsidRPr="00C058B7">
              <w:rPr>
                <w:rFonts w:ascii="Times New Roman" w:eastAsia="Times New Roman" w:hAnsi="Times New Roman"/>
                <w:b/>
                <w:bCs/>
                <w:color w:val="000000"/>
                <w:sz w:val="24"/>
                <w:szCs w:val="24"/>
              </w:rPr>
              <w:t>Measurement properties reported</w:t>
            </w:r>
          </w:p>
        </w:tc>
        <w:tc>
          <w:tcPr>
            <w:tcW w:w="1866" w:type="dxa"/>
            <w:shd w:val="clear" w:color="000000" w:fill="E8E8E8"/>
            <w:noWrap/>
            <w:hideMark/>
          </w:tcPr>
          <w:p w14:paraId="66CC0B57" w14:textId="77777777" w:rsidR="00C058B7" w:rsidRPr="00C058B7" w:rsidRDefault="00C058B7" w:rsidP="00C058B7">
            <w:pPr>
              <w:spacing w:after="0" w:line="240" w:lineRule="auto"/>
              <w:rPr>
                <w:rFonts w:ascii="Times New Roman" w:eastAsia="Times New Roman" w:hAnsi="Times New Roman"/>
                <w:b/>
                <w:bCs/>
                <w:color w:val="000000"/>
                <w:sz w:val="24"/>
                <w:szCs w:val="24"/>
              </w:rPr>
            </w:pPr>
            <w:r w:rsidRPr="00C058B7">
              <w:rPr>
                <w:rFonts w:ascii="Times New Roman" w:eastAsia="Times New Roman" w:hAnsi="Times New Roman"/>
                <w:b/>
                <w:bCs/>
                <w:color w:val="000000"/>
                <w:sz w:val="24"/>
                <w:szCs w:val="24"/>
              </w:rPr>
              <w:t>Cultural adaptation</w:t>
            </w:r>
          </w:p>
        </w:tc>
        <w:tc>
          <w:tcPr>
            <w:tcW w:w="2213" w:type="dxa"/>
            <w:shd w:val="clear" w:color="000000" w:fill="E8E8E8"/>
            <w:noWrap/>
            <w:hideMark/>
          </w:tcPr>
          <w:p w14:paraId="3CDC067C" w14:textId="77777777" w:rsidR="00C058B7" w:rsidRPr="00C058B7" w:rsidRDefault="00C058B7" w:rsidP="00C058B7">
            <w:pPr>
              <w:spacing w:after="0" w:line="240" w:lineRule="auto"/>
              <w:rPr>
                <w:rFonts w:ascii="Times New Roman" w:eastAsia="Times New Roman" w:hAnsi="Times New Roman"/>
                <w:b/>
                <w:bCs/>
                <w:color w:val="000000"/>
                <w:sz w:val="24"/>
                <w:szCs w:val="24"/>
              </w:rPr>
            </w:pPr>
            <w:r w:rsidRPr="00C058B7">
              <w:rPr>
                <w:rFonts w:ascii="Times New Roman" w:eastAsia="Times New Roman" w:hAnsi="Times New Roman"/>
                <w:b/>
                <w:bCs/>
                <w:color w:val="000000"/>
                <w:sz w:val="24"/>
                <w:szCs w:val="24"/>
              </w:rPr>
              <w:t>Limitations for present purposes</w:t>
            </w:r>
          </w:p>
        </w:tc>
      </w:tr>
      <w:tr w:rsidR="00C058B7" w:rsidRPr="00C058B7" w14:paraId="77D88CC3" w14:textId="77777777" w:rsidTr="00C058B7">
        <w:trPr>
          <w:trHeight w:val="330"/>
        </w:trPr>
        <w:tc>
          <w:tcPr>
            <w:tcW w:w="1131" w:type="dxa"/>
            <w:noWrap/>
            <w:hideMark/>
          </w:tcPr>
          <w:p w14:paraId="540277CA"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Mental Health Literacy Scale, original (O’Connor &amp; Casey, 2015)</w:t>
            </w:r>
          </w:p>
        </w:tc>
        <w:tc>
          <w:tcPr>
            <w:tcW w:w="1310" w:type="dxa"/>
            <w:noWrap/>
            <w:hideMark/>
          </w:tcPr>
          <w:p w14:paraId="7DBA695B"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Australian community members and mental health professionals</w:t>
            </w:r>
          </w:p>
        </w:tc>
        <w:tc>
          <w:tcPr>
            <w:tcW w:w="395" w:type="dxa"/>
            <w:noWrap/>
            <w:hideMark/>
          </w:tcPr>
          <w:p w14:paraId="7368B441"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Australia</w:t>
            </w:r>
          </w:p>
        </w:tc>
        <w:tc>
          <w:tcPr>
            <w:tcW w:w="2475" w:type="dxa"/>
            <w:noWrap/>
            <w:hideMark/>
          </w:tcPr>
          <w:p w14:paraId="12D8068B"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35 items, treated as unidimensional, score range 35–160; internal consistency and test–retest reliability reported as good</w:t>
            </w:r>
          </w:p>
        </w:tc>
        <w:tc>
          <w:tcPr>
            <w:tcW w:w="1866" w:type="dxa"/>
            <w:noWrap/>
            <w:hideMark/>
          </w:tcPr>
          <w:p w14:paraId="047FCFC0"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None; developed in the source culture</w:t>
            </w:r>
          </w:p>
        </w:tc>
        <w:tc>
          <w:tcPr>
            <w:tcW w:w="2213" w:type="dxa"/>
            <w:noWrap/>
            <w:hideMark/>
          </w:tcPr>
          <w:p w14:paraId="3651B6A4"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Developed in a high-income, English-speaking setting; recognition items presuppose diagnostic vocabulary</w:t>
            </w:r>
          </w:p>
        </w:tc>
      </w:tr>
      <w:tr w:rsidR="00C058B7" w:rsidRPr="00C058B7" w14:paraId="24C64319" w14:textId="77777777" w:rsidTr="00C058B7">
        <w:trPr>
          <w:trHeight w:val="330"/>
        </w:trPr>
        <w:tc>
          <w:tcPr>
            <w:tcW w:w="1131" w:type="dxa"/>
            <w:noWrap/>
            <w:hideMark/>
          </w:tcPr>
          <w:p w14:paraId="499D1737"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Revised for LMIC contexts — content validation (Korhonen et al., 2019)</w:t>
            </w:r>
          </w:p>
        </w:tc>
        <w:tc>
          <w:tcPr>
            <w:tcW w:w="1310" w:type="dxa"/>
            <w:noWrap/>
            <w:hideMark/>
          </w:tcPr>
          <w:p w14:paraId="2A9074EB"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Two expert panels, N = 21: 11 professional research experts, 10 primary health care workers</w:t>
            </w:r>
          </w:p>
        </w:tc>
        <w:tc>
          <w:tcPr>
            <w:tcW w:w="395" w:type="dxa"/>
            <w:noWrap/>
            <w:hideMark/>
          </w:tcPr>
          <w:p w14:paraId="02E23058"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South Africa and Zambia</w:t>
            </w:r>
          </w:p>
        </w:tc>
        <w:tc>
          <w:tcPr>
            <w:tcW w:w="2475" w:type="dxa"/>
            <w:noWrap/>
            <w:hideMark/>
          </w:tcPr>
          <w:p w14:paraId="3A6552B2"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Item-level content validity indices on a four-point relevance scale; scale averages 0.95 (research panel), 0.62 (clinical panel), 0.80 (combined); item-level range 0.10–1.00 in the clinical panel</w:t>
            </w:r>
          </w:p>
        </w:tc>
        <w:tc>
          <w:tcPr>
            <w:tcW w:w="1866" w:type="dxa"/>
            <w:noWrap/>
            <w:hideMark/>
          </w:tcPr>
          <w:p w14:paraId="5C224F61"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11 of 35 items modified for cultural clarity; 2 items updated for DSM-5; no item deleted</w:t>
            </w:r>
          </w:p>
        </w:tc>
        <w:tc>
          <w:tcPr>
            <w:tcW w:w="2213" w:type="dxa"/>
            <w:noWrap/>
            <w:hideMark/>
          </w:tcPr>
          <w:p w14:paraId="2B4C2F7B"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No re-study phase; panels asymmetric in training and in relation to the project; relevance rating confounded with item response (Table 3)</w:t>
            </w:r>
          </w:p>
        </w:tc>
      </w:tr>
      <w:tr w:rsidR="00C058B7" w:rsidRPr="00C058B7" w14:paraId="377DD478" w14:textId="77777777" w:rsidTr="00C058B7">
        <w:trPr>
          <w:trHeight w:val="330"/>
        </w:trPr>
        <w:tc>
          <w:tcPr>
            <w:tcW w:w="1131" w:type="dxa"/>
            <w:noWrap/>
            <w:hideMark/>
          </w:tcPr>
          <w:p w14:paraId="6508DF83"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 xml:space="preserve">Revised version — psychometric evaluation (Korhonen, </w:t>
            </w:r>
            <w:proofErr w:type="spellStart"/>
            <w:r w:rsidRPr="00C058B7">
              <w:rPr>
                <w:rFonts w:ascii="Times New Roman" w:eastAsia="Times New Roman" w:hAnsi="Times New Roman"/>
                <w:color w:val="000000"/>
                <w:sz w:val="24"/>
                <w:szCs w:val="24"/>
              </w:rPr>
              <w:t>Axelin</w:t>
            </w:r>
            <w:proofErr w:type="spellEnd"/>
            <w:r w:rsidRPr="00C058B7">
              <w:rPr>
                <w:rFonts w:ascii="Times New Roman" w:eastAsia="Times New Roman" w:hAnsi="Times New Roman"/>
                <w:color w:val="000000"/>
                <w:sz w:val="24"/>
                <w:szCs w:val="24"/>
              </w:rPr>
              <w:t>, Katajisto, &amp; Lahti, 2022)</w:t>
            </w:r>
          </w:p>
        </w:tc>
        <w:tc>
          <w:tcPr>
            <w:tcW w:w="1310" w:type="dxa"/>
            <w:noWrap/>
            <w:hideMark/>
          </w:tcPr>
          <w:p w14:paraId="20737EBB"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Primary health care workers, n = 454, five districts</w:t>
            </w:r>
          </w:p>
        </w:tc>
        <w:tc>
          <w:tcPr>
            <w:tcW w:w="395" w:type="dxa"/>
            <w:noWrap/>
            <w:hideMark/>
          </w:tcPr>
          <w:p w14:paraId="09D1931E"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South Africa and Zambia</w:t>
            </w:r>
          </w:p>
        </w:tc>
        <w:tc>
          <w:tcPr>
            <w:tcW w:w="2475" w:type="dxa"/>
            <w:noWrap/>
            <w:hideMark/>
          </w:tcPr>
          <w:p w14:paraId="4805AECE"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Principal component analysis yielding nine components explaining approximately 59% of variance; Cronbach’s alpha 0.804 for the whole scale, below the acceptable level for three attributes</w:t>
            </w:r>
          </w:p>
        </w:tc>
        <w:tc>
          <w:tcPr>
            <w:tcW w:w="1866" w:type="dxa"/>
            <w:noWrap/>
            <w:hideMark/>
          </w:tcPr>
          <w:p w14:paraId="1D0FE490"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Administered as the revised version from the 2019 content validation</w:t>
            </w:r>
          </w:p>
        </w:tc>
        <w:tc>
          <w:tcPr>
            <w:tcW w:w="2213" w:type="dxa"/>
            <w:noWrap/>
            <w:hideMark/>
          </w:tcPr>
          <w:p w14:paraId="05C025FB"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Nine components departs from both the original unidimensional treatment and the four-factor modal solution; three attributes internally inconsistent</w:t>
            </w:r>
          </w:p>
        </w:tc>
      </w:tr>
      <w:tr w:rsidR="00C058B7" w:rsidRPr="00C058B7" w14:paraId="106F96C1" w14:textId="77777777" w:rsidTr="00C058B7">
        <w:trPr>
          <w:trHeight w:val="330"/>
        </w:trPr>
        <w:tc>
          <w:tcPr>
            <w:tcW w:w="1131" w:type="dxa"/>
            <w:noWrap/>
            <w:hideMark/>
          </w:tcPr>
          <w:p w14:paraId="714CC19A"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 xml:space="preserve">Revised version — application (Korhonen, </w:t>
            </w:r>
            <w:proofErr w:type="spellStart"/>
            <w:r w:rsidRPr="00C058B7">
              <w:rPr>
                <w:rFonts w:ascii="Times New Roman" w:eastAsia="Times New Roman" w:hAnsi="Times New Roman"/>
                <w:color w:val="000000"/>
                <w:sz w:val="24"/>
                <w:szCs w:val="24"/>
              </w:rPr>
              <w:t>Axelin</w:t>
            </w:r>
            <w:proofErr w:type="spellEnd"/>
            <w:r w:rsidRPr="00C058B7">
              <w:rPr>
                <w:rFonts w:ascii="Times New Roman" w:eastAsia="Times New Roman" w:hAnsi="Times New Roman"/>
                <w:color w:val="000000"/>
                <w:sz w:val="24"/>
                <w:szCs w:val="24"/>
              </w:rPr>
              <w:t>, Stein, et al., 2022)</w:t>
            </w:r>
          </w:p>
        </w:tc>
        <w:tc>
          <w:tcPr>
            <w:tcW w:w="1310" w:type="dxa"/>
            <w:noWrap/>
            <w:hideMark/>
          </w:tcPr>
          <w:p w14:paraId="28AC3220"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 xml:space="preserve">Primary health care workers in five regions; 306 of 505 approached consented, 250 </w:t>
            </w:r>
            <w:proofErr w:type="spellStart"/>
            <w:r w:rsidRPr="00C058B7">
              <w:rPr>
                <w:rFonts w:ascii="Times New Roman" w:eastAsia="Times New Roman" w:hAnsi="Times New Roman"/>
                <w:color w:val="000000"/>
                <w:sz w:val="24"/>
                <w:szCs w:val="24"/>
              </w:rPr>
              <w:t>analysed</w:t>
            </w:r>
            <w:proofErr w:type="spellEnd"/>
          </w:p>
        </w:tc>
        <w:tc>
          <w:tcPr>
            <w:tcW w:w="395" w:type="dxa"/>
            <w:noWrap/>
            <w:hideMark/>
          </w:tcPr>
          <w:p w14:paraId="710BAECB"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South Africa and Zambia</w:t>
            </w:r>
          </w:p>
        </w:tc>
        <w:tc>
          <w:tcPr>
            <w:tcW w:w="2475" w:type="dxa"/>
            <w:noWrap/>
            <w:hideMark/>
          </w:tcPr>
          <w:p w14:paraId="683D9249"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Scores ranged 76–150; internal consistency strong for the whole scale; three knowledge attributes below the 0.70 threshold and omitted from the multifactor analysis</w:t>
            </w:r>
          </w:p>
        </w:tc>
        <w:tc>
          <w:tcPr>
            <w:tcW w:w="1866" w:type="dxa"/>
            <w:noWrap/>
            <w:hideMark/>
          </w:tcPr>
          <w:p w14:paraId="1D21F421"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As above</w:t>
            </w:r>
          </w:p>
        </w:tc>
        <w:tc>
          <w:tcPr>
            <w:tcW w:w="2213" w:type="dxa"/>
            <w:noWrap/>
            <w:hideMark/>
          </w:tcPr>
          <w:p w14:paraId="3A9F6843"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An application rather than a validation</w:t>
            </w:r>
          </w:p>
        </w:tc>
      </w:tr>
      <w:tr w:rsidR="00C058B7" w:rsidRPr="00C058B7" w14:paraId="42B84F2C" w14:textId="77777777" w:rsidTr="00C058B7">
        <w:trPr>
          <w:trHeight w:val="330"/>
        </w:trPr>
        <w:tc>
          <w:tcPr>
            <w:tcW w:w="1131" w:type="dxa"/>
            <w:noWrap/>
            <w:hideMark/>
          </w:tcPr>
          <w:p w14:paraId="23F7175F"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 xml:space="preserve">Revised version — further validation </w:t>
            </w:r>
            <w:r w:rsidRPr="00C058B7">
              <w:rPr>
                <w:rFonts w:ascii="Times New Roman" w:eastAsia="Times New Roman" w:hAnsi="Times New Roman"/>
                <w:color w:val="000000"/>
                <w:sz w:val="24"/>
                <w:szCs w:val="24"/>
              </w:rPr>
              <w:lastRenderedPageBreak/>
              <w:t>(</w:t>
            </w:r>
            <w:proofErr w:type="spellStart"/>
            <w:r w:rsidRPr="00C058B7">
              <w:rPr>
                <w:rFonts w:ascii="Times New Roman" w:eastAsia="Times New Roman" w:hAnsi="Times New Roman"/>
                <w:color w:val="000000"/>
                <w:sz w:val="24"/>
                <w:szCs w:val="24"/>
              </w:rPr>
              <w:t>Blommetjies</w:t>
            </w:r>
            <w:proofErr w:type="spellEnd"/>
            <w:r w:rsidRPr="00C058B7">
              <w:rPr>
                <w:rFonts w:ascii="Times New Roman" w:eastAsia="Times New Roman" w:hAnsi="Times New Roman"/>
                <w:color w:val="000000"/>
                <w:sz w:val="24"/>
                <w:szCs w:val="24"/>
              </w:rPr>
              <w:t xml:space="preserve"> &amp; Deacon, 2026)</w:t>
            </w:r>
          </w:p>
        </w:tc>
        <w:tc>
          <w:tcPr>
            <w:tcW w:w="1310" w:type="dxa"/>
            <w:noWrap/>
            <w:hideMark/>
          </w:tcPr>
          <w:p w14:paraId="59486643"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lastRenderedPageBreak/>
              <w:t>Undergraduate nursing students, N = 121</w:t>
            </w:r>
          </w:p>
        </w:tc>
        <w:tc>
          <w:tcPr>
            <w:tcW w:w="395" w:type="dxa"/>
            <w:noWrap/>
            <w:hideMark/>
          </w:tcPr>
          <w:p w14:paraId="4987EE82"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South Africa</w:t>
            </w:r>
          </w:p>
        </w:tc>
        <w:tc>
          <w:tcPr>
            <w:tcW w:w="2475" w:type="dxa"/>
            <w:noWrap/>
            <w:hideMark/>
          </w:tcPr>
          <w:p w14:paraId="7ED5C6B7"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 xml:space="preserve">Exploratory and confirmatory factor analysis supporting a five-factor structure </w:t>
            </w:r>
            <w:r w:rsidRPr="00C058B7">
              <w:rPr>
                <w:rFonts w:ascii="Times New Roman" w:eastAsia="Times New Roman" w:hAnsi="Times New Roman"/>
                <w:color w:val="000000"/>
                <w:sz w:val="24"/>
                <w:szCs w:val="24"/>
              </w:rPr>
              <w:lastRenderedPageBreak/>
              <w:t>retaining only 17 of the 35 items; alpha 0.77 and omega 0.83 for the 17-item measure; two factors requiring further work</w:t>
            </w:r>
          </w:p>
        </w:tc>
        <w:tc>
          <w:tcPr>
            <w:tcW w:w="1866" w:type="dxa"/>
            <w:noWrap/>
            <w:hideMark/>
          </w:tcPr>
          <w:p w14:paraId="6A356459"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lastRenderedPageBreak/>
              <w:t>Used the revised version developed for the region</w:t>
            </w:r>
          </w:p>
        </w:tc>
        <w:tc>
          <w:tcPr>
            <w:tcW w:w="2213" w:type="dxa"/>
            <w:noWrap/>
            <w:hideMark/>
          </w:tcPr>
          <w:p w14:paraId="1D578C91"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 xml:space="preserve">Small purposive sample of students; nearly half the items did not </w:t>
            </w:r>
            <w:r w:rsidRPr="00C058B7">
              <w:rPr>
                <w:rFonts w:ascii="Times New Roman" w:eastAsia="Times New Roman" w:hAnsi="Times New Roman"/>
                <w:color w:val="000000"/>
                <w:sz w:val="24"/>
                <w:szCs w:val="24"/>
              </w:rPr>
              <w:lastRenderedPageBreak/>
              <w:t>survive, which is a structural result and not only a reliability one</w:t>
            </w:r>
          </w:p>
        </w:tc>
      </w:tr>
      <w:tr w:rsidR="00C058B7" w:rsidRPr="00C058B7" w14:paraId="061A411C" w14:textId="77777777" w:rsidTr="00C058B7">
        <w:trPr>
          <w:trHeight w:val="330"/>
        </w:trPr>
        <w:tc>
          <w:tcPr>
            <w:tcW w:w="1131" w:type="dxa"/>
            <w:noWrap/>
            <w:hideMark/>
          </w:tcPr>
          <w:p w14:paraId="33C2232D"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lastRenderedPageBreak/>
              <w:t>MHLS — Zimbabwean occupational application (</w:t>
            </w:r>
            <w:proofErr w:type="spellStart"/>
            <w:r w:rsidRPr="00C058B7">
              <w:rPr>
                <w:rFonts w:ascii="Times New Roman" w:eastAsia="Times New Roman" w:hAnsi="Times New Roman"/>
                <w:color w:val="000000"/>
                <w:sz w:val="24"/>
                <w:szCs w:val="24"/>
              </w:rPr>
              <w:t>Chiobvu</w:t>
            </w:r>
            <w:proofErr w:type="spellEnd"/>
            <w:r w:rsidRPr="00C058B7">
              <w:rPr>
                <w:rFonts w:ascii="Times New Roman" w:eastAsia="Times New Roman" w:hAnsi="Times New Roman"/>
                <w:color w:val="000000"/>
                <w:sz w:val="24"/>
                <w:szCs w:val="24"/>
              </w:rPr>
              <w:t xml:space="preserve"> et al., 2025)</w:t>
            </w:r>
          </w:p>
        </w:tc>
        <w:tc>
          <w:tcPr>
            <w:tcW w:w="1310" w:type="dxa"/>
            <w:noWrap/>
            <w:hideMark/>
          </w:tcPr>
          <w:p w14:paraId="39CC472C"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Correctional service officers, N = 163, all ten provinces, convenience sample</w:t>
            </w:r>
          </w:p>
        </w:tc>
        <w:tc>
          <w:tcPr>
            <w:tcW w:w="395" w:type="dxa"/>
            <w:noWrap/>
            <w:hideMark/>
          </w:tcPr>
          <w:p w14:paraId="6CD323F2"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Zimbabwe</w:t>
            </w:r>
          </w:p>
        </w:tc>
        <w:tc>
          <w:tcPr>
            <w:tcW w:w="2475" w:type="dxa"/>
            <w:noWrap/>
            <w:hideMark/>
          </w:tcPr>
          <w:p w14:paraId="7B16E742"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No psychometric evaluation conducted in the sample; the reliability figures quoted are those of a previously published Iranian version</w:t>
            </w:r>
          </w:p>
        </w:tc>
        <w:tc>
          <w:tcPr>
            <w:tcW w:w="1866" w:type="dxa"/>
            <w:noWrap/>
            <w:hideMark/>
          </w:tcPr>
          <w:p w14:paraId="38B2C1FE"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None. Administered in English and explicitly not translated, on the grounds that English is an entry requirement for recruitment</w:t>
            </w:r>
          </w:p>
        </w:tc>
        <w:tc>
          <w:tcPr>
            <w:tcW w:w="2213" w:type="dxa"/>
            <w:noWrap/>
            <w:hideMark/>
          </w:tcPr>
          <w:p w14:paraId="3CC90038"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The closest population in country terms and the clearest instance of the practice this review questions; provides no evidence that the instrument performs as intended in Zimbabwe</w:t>
            </w:r>
          </w:p>
        </w:tc>
      </w:tr>
      <w:tr w:rsidR="00C058B7" w:rsidRPr="00C058B7" w14:paraId="012E0023" w14:textId="77777777" w:rsidTr="00C058B7">
        <w:trPr>
          <w:trHeight w:val="330"/>
        </w:trPr>
        <w:tc>
          <w:tcPr>
            <w:tcW w:w="1131" w:type="dxa"/>
            <w:noWrap/>
            <w:hideMark/>
          </w:tcPr>
          <w:p w14:paraId="38407DB4"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Arabic version for perinatal use (</w:t>
            </w:r>
            <w:proofErr w:type="spellStart"/>
            <w:r w:rsidRPr="00C058B7">
              <w:rPr>
                <w:rFonts w:ascii="Times New Roman" w:eastAsia="Times New Roman" w:hAnsi="Times New Roman"/>
                <w:color w:val="000000"/>
                <w:sz w:val="24"/>
                <w:szCs w:val="24"/>
              </w:rPr>
              <w:t>ElKhalil</w:t>
            </w:r>
            <w:proofErr w:type="spellEnd"/>
            <w:r w:rsidRPr="00C058B7">
              <w:rPr>
                <w:rFonts w:ascii="Times New Roman" w:eastAsia="Times New Roman" w:hAnsi="Times New Roman"/>
                <w:color w:val="000000"/>
                <w:sz w:val="24"/>
                <w:szCs w:val="24"/>
              </w:rPr>
              <w:t xml:space="preserve"> et al., 2025)</w:t>
            </w:r>
          </w:p>
        </w:tc>
        <w:tc>
          <w:tcPr>
            <w:tcW w:w="1310" w:type="dxa"/>
            <w:noWrap/>
            <w:hideMark/>
          </w:tcPr>
          <w:p w14:paraId="1D233484"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20 health professionals and 10 perinatal patients, in two rating rounds</w:t>
            </w:r>
          </w:p>
        </w:tc>
        <w:tc>
          <w:tcPr>
            <w:tcW w:w="395" w:type="dxa"/>
            <w:noWrap/>
            <w:hideMark/>
          </w:tcPr>
          <w:p w14:paraId="6AA2626C"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United Arab Emirates</w:t>
            </w:r>
          </w:p>
        </w:tc>
        <w:tc>
          <w:tcPr>
            <w:tcW w:w="2475" w:type="dxa"/>
            <w:noWrap/>
            <w:hideMark/>
          </w:tcPr>
          <w:p w14:paraId="72A6CB75"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Relevance, clarity and comprehensiveness rated separately with content validity indices and kappa; all items rated 1.00 for relevance after revision</w:t>
            </w:r>
          </w:p>
        </w:tc>
        <w:tc>
          <w:tcPr>
            <w:tcW w:w="1866" w:type="dxa"/>
            <w:noWrap/>
            <w:hideMark/>
          </w:tcPr>
          <w:p w14:paraId="03D83BDF"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 xml:space="preserve">Three items added under a new attribute on myths about mental disorder, generated by patient cognitive debriefing; items </w:t>
            </w:r>
            <w:proofErr w:type="spellStart"/>
            <w:r w:rsidRPr="00C058B7">
              <w:rPr>
                <w:rFonts w:ascii="Times New Roman" w:eastAsia="Times New Roman" w:hAnsi="Times New Roman"/>
                <w:color w:val="000000"/>
                <w:sz w:val="24"/>
                <w:szCs w:val="24"/>
              </w:rPr>
              <w:t>contextualised</w:t>
            </w:r>
            <w:proofErr w:type="spellEnd"/>
            <w:r w:rsidRPr="00C058B7">
              <w:rPr>
                <w:rFonts w:ascii="Times New Roman" w:eastAsia="Times New Roman" w:hAnsi="Times New Roman"/>
                <w:color w:val="000000"/>
                <w:sz w:val="24"/>
                <w:szCs w:val="24"/>
              </w:rPr>
              <w:t xml:space="preserve"> to pregnancy</w:t>
            </w:r>
          </w:p>
        </w:tc>
        <w:tc>
          <w:tcPr>
            <w:tcW w:w="2213" w:type="dxa"/>
            <w:noWrap/>
            <w:hideMark/>
          </w:tcPr>
          <w:p w14:paraId="197D90F0"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Content validity only; psychometric evaluation not yet conducted</w:t>
            </w:r>
          </w:p>
        </w:tc>
      </w:tr>
      <w:tr w:rsidR="00C058B7" w:rsidRPr="00C058B7" w14:paraId="1641DA9A" w14:textId="77777777" w:rsidTr="00C058B7">
        <w:trPr>
          <w:trHeight w:val="330"/>
        </w:trPr>
        <w:tc>
          <w:tcPr>
            <w:tcW w:w="1131" w:type="dxa"/>
            <w:noWrap/>
            <w:hideMark/>
          </w:tcPr>
          <w:p w14:paraId="5CC7F3FD"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Literacy of Suicide Scale (</w:t>
            </w:r>
            <w:proofErr w:type="spellStart"/>
            <w:r w:rsidRPr="00C058B7">
              <w:rPr>
                <w:rFonts w:ascii="Times New Roman" w:eastAsia="Times New Roman" w:hAnsi="Times New Roman"/>
                <w:color w:val="000000"/>
                <w:sz w:val="24"/>
                <w:szCs w:val="24"/>
              </w:rPr>
              <w:t>Calear</w:t>
            </w:r>
            <w:proofErr w:type="spellEnd"/>
            <w:r w:rsidRPr="00C058B7">
              <w:rPr>
                <w:rFonts w:ascii="Times New Roman" w:eastAsia="Times New Roman" w:hAnsi="Times New Roman"/>
                <w:color w:val="000000"/>
                <w:sz w:val="24"/>
                <w:szCs w:val="24"/>
              </w:rPr>
              <w:t xml:space="preserve"> et al., 2022)</w:t>
            </w:r>
          </w:p>
        </w:tc>
        <w:tc>
          <w:tcPr>
            <w:tcW w:w="1310" w:type="dxa"/>
            <w:noWrap/>
            <w:hideMark/>
          </w:tcPr>
          <w:p w14:paraId="7DE8105E"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658 participants in development, 191 in validation; used subsequently in 25 studies across nine countries</w:t>
            </w:r>
          </w:p>
        </w:tc>
        <w:tc>
          <w:tcPr>
            <w:tcW w:w="395" w:type="dxa"/>
            <w:noWrap/>
            <w:hideMark/>
          </w:tcPr>
          <w:p w14:paraId="4AC8DB30"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Australia (development)</w:t>
            </w:r>
          </w:p>
        </w:tc>
        <w:tc>
          <w:tcPr>
            <w:tcW w:w="2475" w:type="dxa"/>
            <w:noWrap/>
            <w:hideMark/>
          </w:tcPr>
          <w:p w14:paraId="168D8FCA"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26 items across four content domains, with a 12-item short form; item response theory used for item selection</w:t>
            </w:r>
          </w:p>
        </w:tc>
        <w:tc>
          <w:tcPr>
            <w:tcW w:w="1866" w:type="dxa"/>
            <w:noWrap/>
            <w:hideMark/>
          </w:tcPr>
          <w:p w14:paraId="4FD1F992"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Translated and validated in several languages, including Malay, Spanish and Persian</w:t>
            </w:r>
          </w:p>
        </w:tc>
        <w:tc>
          <w:tcPr>
            <w:tcW w:w="2213" w:type="dxa"/>
            <w:noWrap/>
            <w:hideMark/>
          </w:tcPr>
          <w:p w14:paraId="456030ED"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No African validation located; the authors note that further validation in clinical populations is needed</w:t>
            </w:r>
          </w:p>
        </w:tc>
      </w:tr>
      <w:tr w:rsidR="00C058B7" w:rsidRPr="00C058B7" w14:paraId="7E7DF8D5" w14:textId="77777777" w:rsidTr="00C058B7">
        <w:trPr>
          <w:trHeight w:val="330"/>
        </w:trPr>
        <w:tc>
          <w:tcPr>
            <w:tcW w:w="1131" w:type="dxa"/>
            <w:noWrap/>
            <w:hideMark/>
          </w:tcPr>
          <w:p w14:paraId="776C0C00"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Shona Symptom Questionnaire (Patel et al., 1997) — emic comparator</w:t>
            </w:r>
          </w:p>
        </w:tc>
        <w:tc>
          <w:tcPr>
            <w:tcW w:w="1310" w:type="dxa"/>
            <w:noWrap/>
            <w:hideMark/>
          </w:tcPr>
          <w:p w14:paraId="071555D6"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302 randomly selected primary care attenders, 100 classified as cases</w:t>
            </w:r>
          </w:p>
        </w:tc>
        <w:tc>
          <w:tcPr>
            <w:tcW w:w="395" w:type="dxa"/>
            <w:noWrap/>
            <w:hideMark/>
          </w:tcPr>
          <w:p w14:paraId="588AB3B4"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Zimbabwe (Harare), in Shona</w:t>
            </w:r>
          </w:p>
        </w:tc>
        <w:tc>
          <w:tcPr>
            <w:tcW w:w="2475" w:type="dxa"/>
            <w:noWrap/>
            <w:hideMark/>
          </w:tcPr>
          <w:p w14:paraId="5C1CECBC"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14 items retained from a 56-item pool by discriminant analysis; Cronbach’s alpha 0.85; reduced against a criterion of agreement between care-provider assessment and psychiatric interview</w:t>
            </w:r>
          </w:p>
        </w:tc>
        <w:tc>
          <w:tcPr>
            <w:tcW w:w="1866" w:type="dxa"/>
            <w:noWrap/>
            <w:hideMark/>
          </w:tcPr>
          <w:p w14:paraId="5CB2DB29"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 xml:space="preserve">Built from idioms of distress elicited through ethnographic and qualitative work, including with patients consulting traditional medical </w:t>
            </w:r>
            <w:r w:rsidRPr="00C058B7">
              <w:rPr>
                <w:rFonts w:ascii="Times New Roman" w:eastAsia="Times New Roman" w:hAnsi="Times New Roman"/>
                <w:color w:val="000000"/>
                <w:sz w:val="24"/>
                <w:szCs w:val="24"/>
              </w:rPr>
              <w:lastRenderedPageBreak/>
              <w:t>practitioners</w:t>
            </w:r>
          </w:p>
        </w:tc>
        <w:tc>
          <w:tcPr>
            <w:tcW w:w="2213" w:type="dxa"/>
            <w:noWrap/>
            <w:hideMark/>
          </w:tcPr>
          <w:p w14:paraId="548E9F31"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lastRenderedPageBreak/>
              <w:t>Measures symptom burden, not literacy; developed in Shona only, in Harare, three decades ago; a methodological precedent, not a candidate instrument</w:t>
            </w:r>
          </w:p>
        </w:tc>
      </w:tr>
    </w:tbl>
    <w:p w14:paraId="41C00202" w14:textId="77777777" w:rsidR="00C058B7" w:rsidRPr="00C058B7" w:rsidRDefault="00C058B7" w:rsidP="00C058B7">
      <w:pPr>
        <w:spacing w:before="240" w:after="240" w:line="240" w:lineRule="auto"/>
        <w:jc w:val="both"/>
        <w:rPr>
          <w:rFonts w:ascii="Times New Roman" w:hAnsi="Times New Roman"/>
          <w:sz w:val="24"/>
          <w:szCs w:val="24"/>
        </w:rPr>
      </w:pPr>
      <w:r w:rsidRPr="00C058B7">
        <w:rPr>
          <w:rFonts w:ascii="Times New Roman" w:eastAsia="Times New Roman" w:hAnsi="Times New Roman"/>
          <w:i/>
          <w:iCs/>
          <w:sz w:val="24"/>
          <w:szCs w:val="24"/>
        </w:rPr>
        <w:t>Note. LMIC = low- and middle-income country; MHLS = Mental Health Literacy Scale. Measurement property terminology follows the taxonomy set out above.</w:t>
      </w:r>
    </w:p>
    <w:p w14:paraId="7E19DFAA"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4"/>
          <w:szCs w:val="24"/>
        </w:rPr>
        <w:t>What it does not establish</w:t>
      </w:r>
    </w:p>
    <w:p w14:paraId="41A66DE6"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Three findings in the same review bear directly on the question at issue, and they are not incidental qualifications.</w:t>
      </w:r>
    </w:p>
    <w:p w14:paraId="28D2F52F"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The first concerns content validity, and it must be stated in the form the source supports. Of the sixteen validation studies, eight assessed content validity; one of those eight was rated Very Good or Adequate for methodological quality, and the quality of evidence for the domain was rated limited (</w:t>
      </w:r>
      <w:proofErr w:type="spellStart"/>
      <w:r w:rsidRPr="00C058B7">
        <w:rPr>
          <w:rFonts w:ascii="Times New Roman" w:eastAsia="Times New Roman" w:hAnsi="Times New Roman"/>
          <w:sz w:val="24"/>
          <w:szCs w:val="24"/>
        </w:rPr>
        <w:t>ElKhalil</w:t>
      </w:r>
      <w:proofErr w:type="spellEnd"/>
      <w:r w:rsidRPr="00C058B7">
        <w:rPr>
          <w:rFonts w:ascii="Times New Roman" w:eastAsia="Times New Roman" w:hAnsi="Times New Roman"/>
          <w:sz w:val="24"/>
          <w:szCs w:val="24"/>
        </w:rPr>
        <w:t xml:space="preserve"> et al., 2024). The instrument’s content validity is therefore not so much poorly evidenced as scarcely evidenced, and the weaker claim is the one this review needs. Its significance follows from what content validity is. Internal consistency and structural validity are largely internal properties: they establish that the items behave coherently in relation to one another and that the factor structure holds. They do not establish that the items address the right content for a given population. Content validity is the population-facing property — the one that asks whether these items, for these people, capture the construct. It is precisely the property on which the evidence base is thinnest, and precisely the property at issue when an instrument crosses a conceptual and linguistic boundary.</w:t>
      </w:r>
    </w:p>
    <w:p w14:paraId="4014E3BE"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The second is that too few same-language versions existed to permit statistical pooling (</w:t>
      </w:r>
      <w:proofErr w:type="spellStart"/>
      <w:r w:rsidRPr="00C058B7">
        <w:rPr>
          <w:rFonts w:ascii="Times New Roman" w:eastAsia="Times New Roman" w:hAnsi="Times New Roman"/>
          <w:sz w:val="24"/>
          <w:szCs w:val="24"/>
        </w:rPr>
        <w:t>ElKhalil</w:t>
      </w:r>
      <w:proofErr w:type="spellEnd"/>
      <w:r w:rsidRPr="00C058B7">
        <w:rPr>
          <w:rFonts w:ascii="Times New Roman" w:eastAsia="Times New Roman" w:hAnsi="Times New Roman"/>
          <w:sz w:val="24"/>
          <w:szCs w:val="24"/>
        </w:rPr>
        <w:t xml:space="preserve"> et al., 2024). In the vocabulary adopted above, this is an absence of measurement-invariance evidence: cross-cultural validity is the sub-property that asks whether the items of an adapted version perform as the originals do, and it has not been demonstrated across versions of this instrument. Its cross-cultural credentials therefore rest on an accumulation of individual adaptations rather than on a pooled demonstration of equivalence across them.</w:t>
      </w:r>
    </w:p>
    <w:p w14:paraId="7C71B76D"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The third is a tension the review surfaces without resolving. The scale was introduced as a unidimensional measure (O’Connor &amp; Casey, 2015), yet across the validation literature the commonest models were four-factor at 35.7% and unidimensional at 28.6% (</w:t>
      </w:r>
      <w:proofErr w:type="spellStart"/>
      <w:r w:rsidRPr="00C058B7">
        <w:rPr>
          <w:rFonts w:ascii="Times New Roman" w:eastAsia="Times New Roman" w:hAnsi="Times New Roman"/>
          <w:sz w:val="24"/>
          <w:szCs w:val="24"/>
        </w:rPr>
        <w:t>ElKhalil</w:t>
      </w:r>
      <w:proofErr w:type="spellEnd"/>
      <w:r w:rsidRPr="00C058B7">
        <w:rPr>
          <w:rFonts w:ascii="Times New Roman" w:eastAsia="Times New Roman" w:hAnsi="Times New Roman"/>
          <w:sz w:val="24"/>
          <w:szCs w:val="24"/>
        </w:rPr>
        <w:t xml:space="preserve"> et al., 2024). That structural validity was rated adequate in 14 of 14 studies while those studies disagree about how many factors the instrument has is not a contradiction — each may be internally sound — but it indicates that what the instrument measures is not stable across the populations in which it has been administered. The instability is not confined to the international literature. Within Southern Africa, the revised version has yielded a nine-component solution explaining approximately 59% of variance among 454 primary health care workers (Korhonen, </w:t>
      </w:r>
      <w:proofErr w:type="spellStart"/>
      <w:r w:rsidRPr="00C058B7">
        <w:rPr>
          <w:rFonts w:ascii="Times New Roman" w:eastAsia="Times New Roman" w:hAnsi="Times New Roman"/>
          <w:sz w:val="24"/>
          <w:szCs w:val="24"/>
        </w:rPr>
        <w:t>Axelin</w:t>
      </w:r>
      <w:proofErr w:type="spellEnd"/>
      <w:r w:rsidRPr="00C058B7">
        <w:rPr>
          <w:rFonts w:ascii="Times New Roman" w:eastAsia="Times New Roman" w:hAnsi="Times New Roman"/>
          <w:sz w:val="24"/>
          <w:szCs w:val="24"/>
        </w:rPr>
        <w:t>, Katajisto, &amp; Lahti, 2022) and a five-factor solution retaining only 17 of the 35 items among 121 nursing students (</w:t>
      </w:r>
      <w:proofErr w:type="spellStart"/>
      <w:r w:rsidRPr="00C058B7">
        <w:rPr>
          <w:rFonts w:ascii="Times New Roman" w:eastAsia="Times New Roman" w:hAnsi="Times New Roman"/>
          <w:sz w:val="24"/>
          <w:szCs w:val="24"/>
        </w:rPr>
        <w:t>Blommetjies</w:t>
      </w:r>
      <w:proofErr w:type="spellEnd"/>
      <w:r w:rsidRPr="00C058B7">
        <w:rPr>
          <w:rFonts w:ascii="Times New Roman" w:eastAsia="Times New Roman" w:hAnsi="Times New Roman"/>
          <w:sz w:val="24"/>
          <w:szCs w:val="24"/>
        </w:rPr>
        <w:t xml:space="preserve"> &amp; Deacon, 2026). Three published structures for one instrument in one region, none of them the structure in which it was introduced, make structural validity an empirical question in each new setting rather than an inherited property.</w:t>
      </w:r>
    </w:p>
    <w:p w14:paraId="3196D4C6"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4"/>
          <w:szCs w:val="24"/>
        </w:rPr>
        <w:t>The regional evidence, and what it actually shows</w:t>
      </w:r>
    </w:p>
    <w:p w14:paraId="026D734B"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The scale has been subjected to content validation for this region, and the exercise repays closer reading than its own summary invites. Two expert panels </w:t>
      </w:r>
      <w:proofErr w:type="spellStart"/>
      <w:r w:rsidRPr="00C058B7">
        <w:rPr>
          <w:rFonts w:ascii="Times New Roman" w:eastAsia="Times New Roman" w:hAnsi="Times New Roman"/>
          <w:sz w:val="24"/>
          <w:szCs w:val="24"/>
        </w:rPr>
        <w:t>totalling</w:t>
      </w:r>
      <w:proofErr w:type="spellEnd"/>
      <w:r w:rsidRPr="00C058B7">
        <w:rPr>
          <w:rFonts w:ascii="Times New Roman" w:eastAsia="Times New Roman" w:hAnsi="Times New Roman"/>
          <w:sz w:val="24"/>
          <w:szCs w:val="24"/>
        </w:rPr>
        <w:t xml:space="preserve"> 21 members rated all 35 items using a heterogeneous expert panel method: eleven professional research experts drawn from the management team of the project for which the instrument was being adapted, and ten clinical experts, primary health care workers at a clinic in Lusaka. Raters used a four-point relevance scale on which 1 denoted not relevant, 2 unable to assess relevance without revision of the item, 3 relevant but needing minor alteration, and 4 relevant to the process of measurement. Item-level content validity indices were computed as the proportion of raters assigning 3 or 4, against a threshold of 0.80 for items and 0.90 for the scale average (Korhonen et al., 2019; the procedure follows Polit &amp; Beck, 2006, and Schilling et al., 2007).</w:t>
      </w:r>
    </w:p>
    <w:p w14:paraId="3BECC309"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All 35 items met the item threshold when rated by the research panel, whose scale average was 0.95. Ten met it when rated by the clinical panel, whose scale average was 0.62 and whose item-level indices ranged from </w:t>
      </w:r>
      <w:r w:rsidRPr="00C058B7">
        <w:rPr>
          <w:rFonts w:ascii="Times New Roman" w:eastAsia="Times New Roman" w:hAnsi="Times New Roman"/>
          <w:sz w:val="24"/>
          <w:szCs w:val="24"/>
        </w:rPr>
        <w:lastRenderedPageBreak/>
        <w:t>0.10 to 1.00. Sixteen items were retained without review and nineteen were reviewed, of which eleven were modified and none deleted. The authors read the divergence as a gap in knowledge and attitudes among frontline workers, and conclude that the instrument has sufficient validity in a low- and middle-income country context.</w:t>
      </w:r>
    </w:p>
    <w:p w14:paraId="0503125B"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The published item-level data permit a more specific account, because the divergence is not uniformly distributed. Aggregated by the instrument’s own attribute blocks, the two panels agree almost exactly on the four items concerning where to seek information about mental illness: the difference is 0.05 and all four items clear the threshold in the clinical panel. On the two items concerning risk factors and causes the difference is 0.67 and neither item clears it. On the nine attitude items the difference is 0.50 and none clears it. A general deficit in mental health knowledge does not predict this shape. It would depress the recognition and treatment-knowledge items at least as much as the attitude items, and it would not leave the information-seeking items untouched.</w:t>
      </w:r>
    </w:p>
    <w:p w14:paraId="61E3EE9E"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4"/>
          <w:szCs w:val="24"/>
        </w:rPr>
        <w:t>Table 3. Item-level content validity indices from the regional content validation, aggregated by instrument attribute block</w:t>
      </w:r>
    </w:p>
    <w:tbl>
      <w:tblPr>
        <w:tblW w:w="1072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2616"/>
        <w:gridCol w:w="2199"/>
        <w:gridCol w:w="1800"/>
        <w:gridCol w:w="1282"/>
        <w:gridCol w:w="1868"/>
      </w:tblGrid>
      <w:tr w:rsidR="00C058B7" w:rsidRPr="00C058B7" w14:paraId="022B041F" w14:textId="77777777" w:rsidTr="00C058B7">
        <w:trPr>
          <w:trHeight w:val="330"/>
        </w:trPr>
        <w:tc>
          <w:tcPr>
            <w:tcW w:w="960" w:type="dxa"/>
            <w:shd w:val="clear" w:color="000000" w:fill="E8E8E8"/>
            <w:noWrap/>
            <w:hideMark/>
          </w:tcPr>
          <w:p w14:paraId="00462122" w14:textId="77777777" w:rsidR="00C058B7" w:rsidRPr="00C058B7" w:rsidRDefault="00C058B7" w:rsidP="00C058B7">
            <w:pPr>
              <w:spacing w:after="0" w:line="240" w:lineRule="auto"/>
              <w:rPr>
                <w:rFonts w:ascii="Times New Roman" w:eastAsia="Times New Roman" w:hAnsi="Times New Roman"/>
                <w:b/>
                <w:bCs/>
                <w:color w:val="000000"/>
                <w:sz w:val="24"/>
                <w:szCs w:val="24"/>
              </w:rPr>
            </w:pPr>
            <w:r w:rsidRPr="00C058B7">
              <w:rPr>
                <w:rFonts w:ascii="Times New Roman" w:eastAsia="Times New Roman" w:hAnsi="Times New Roman"/>
                <w:b/>
                <w:bCs/>
                <w:color w:val="000000"/>
                <w:sz w:val="24"/>
                <w:szCs w:val="24"/>
              </w:rPr>
              <w:t>Items</w:t>
            </w:r>
          </w:p>
        </w:tc>
        <w:tc>
          <w:tcPr>
            <w:tcW w:w="2616" w:type="dxa"/>
            <w:shd w:val="clear" w:color="000000" w:fill="E8E8E8"/>
            <w:noWrap/>
            <w:hideMark/>
          </w:tcPr>
          <w:p w14:paraId="1D71C0E3" w14:textId="77777777" w:rsidR="00C058B7" w:rsidRPr="00C058B7" w:rsidRDefault="00C058B7" w:rsidP="00C058B7">
            <w:pPr>
              <w:spacing w:after="0" w:line="240" w:lineRule="auto"/>
              <w:rPr>
                <w:rFonts w:ascii="Times New Roman" w:eastAsia="Times New Roman" w:hAnsi="Times New Roman"/>
                <w:b/>
                <w:bCs/>
                <w:color w:val="000000"/>
                <w:sz w:val="24"/>
                <w:szCs w:val="24"/>
              </w:rPr>
            </w:pPr>
            <w:r w:rsidRPr="00C058B7">
              <w:rPr>
                <w:rFonts w:ascii="Times New Roman" w:eastAsia="Times New Roman" w:hAnsi="Times New Roman"/>
                <w:b/>
                <w:bCs/>
                <w:color w:val="000000"/>
                <w:sz w:val="24"/>
                <w:szCs w:val="24"/>
              </w:rPr>
              <w:t>Attribute</w:t>
            </w:r>
          </w:p>
        </w:tc>
        <w:tc>
          <w:tcPr>
            <w:tcW w:w="2199" w:type="dxa"/>
            <w:shd w:val="clear" w:color="000000" w:fill="E8E8E8"/>
            <w:noWrap/>
            <w:hideMark/>
          </w:tcPr>
          <w:p w14:paraId="30018C66" w14:textId="77777777" w:rsidR="00C058B7" w:rsidRPr="00C058B7" w:rsidRDefault="00C058B7" w:rsidP="00C058B7">
            <w:pPr>
              <w:spacing w:after="0" w:line="240" w:lineRule="auto"/>
              <w:rPr>
                <w:rFonts w:ascii="Times New Roman" w:eastAsia="Times New Roman" w:hAnsi="Times New Roman"/>
                <w:b/>
                <w:bCs/>
                <w:color w:val="000000"/>
                <w:sz w:val="24"/>
                <w:szCs w:val="24"/>
              </w:rPr>
            </w:pPr>
            <w:r w:rsidRPr="00C058B7">
              <w:rPr>
                <w:rFonts w:ascii="Times New Roman" w:eastAsia="Times New Roman" w:hAnsi="Times New Roman"/>
                <w:b/>
                <w:bCs/>
                <w:color w:val="000000"/>
                <w:sz w:val="24"/>
                <w:szCs w:val="24"/>
              </w:rPr>
              <w:t>Research panel</w:t>
            </w:r>
          </w:p>
        </w:tc>
        <w:tc>
          <w:tcPr>
            <w:tcW w:w="1800" w:type="dxa"/>
            <w:shd w:val="clear" w:color="000000" w:fill="E8E8E8"/>
            <w:noWrap/>
            <w:hideMark/>
          </w:tcPr>
          <w:p w14:paraId="4673F54E" w14:textId="77777777" w:rsidR="00C058B7" w:rsidRPr="00C058B7" w:rsidRDefault="00C058B7" w:rsidP="00C058B7">
            <w:pPr>
              <w:spacing w:after="0" w:line="240" w:lineRule="auto"/>
              <w:rPr>
                <w:rFonts w:ascii="Times New Roman" w:eastAsia="Times New Roman" w:hAnsi="Times New Roman"/>
                <w:b/>
                <w:bCs/>
                <w:color w:val="000000"/>
                <w:sz w:val="24"/>
                <w:szCs w:val="24"/>
              </w:rPr>
            </w:pPr>
            <w:r w:rsidRPr="00C058B7">
              <w:rPr>
                <w:rFonts w:ascii="Times New Roman" w:eastAsia="Times New Roman" w:hAnsi="Times New Roman"/>
                <w:b/>
                <w:bCs/>
                <w:color w:val="000000"/>
                <w:sz w:val="24"/>
                <w:szCs w:val="24"/>
              </w:rPr>
              <w:t>Clinical panel</w:t>
            </w:r>
          </w:p>
        </w:tc>
        <w:tc>
          <w:tcPr>
            <w:tcW w:w="1282" w:type="dxa"/>
            <w:shd w:val="clear" w:color="000000" w:fill="E8E8E8"/>
            <w:noWrap/>
            <w:hideMark/>
          </w:tcPr>
          <w:p w14:paraId="6996796A" w14:textId="77777777" w:rsidR="00C058B7" w:rsidRPr="00C058B7" w:rsidRDefault="00C058B7" w:rsidP="00C058B7">
            <w:pPr>
              <w:spacing w:after="0" w:line="240" w:lineRule="auto"/>
              <w:rPr>
                <w:rFonts w:ascii="Times New Roman" w:eastAsia="Times New Roman" w:hAnsi="Times New Roman"/>
                <w:b/>
                <w:bCs/>
                <w:color w:val="000000"/>
                <w:sz w:val="24"/>
                <w:szCs w:val="24"/>
              </w:rPr>
            </w:pPr>
            <w:r w:rsidRPr="00C058B7">
              <w:rPr>
                <w:rFonts w:ascii="Times New Roman" w:eastAsia="Times New Roman" w:hAnsi="Times New Roman"/>
                <w:b/>
                <w:bCs/>
                <w:color w:val="000000"/>
                <w:sz w:val="24"/>
                <w:szCs w:val="24"/>
              </w:rPr>
              <w:t>Difference</w:t>
            </w:r>
          </w:p>
        </w:tc>
        <w:tc>
          <w:tcPr>
            <w:tcW w:w="1868" w:type="dxa"/>
            <w:shd w:val="clear" w:color="000000" w:fill="E8E8E8"/>
            <w:noWrap/>
            <w:hideMark/>
          </w:tcPr>
          <w:p w14:paraId="4CBCCDAB" w14:textId="77777777" w:rsidR="00C058B7" w:rsidRPr="00C058B7" w:rsidRDefault="00C058B7" w:rsidP="00C058B7">
            <w:pPr>
              <w:spacing w:after="0" w:line="240" w:lineRule="auto"/>
              <w:rPr>
                <w:rFonts w:ascii="Times New Roman" w:eastAsia="Times New Roman" w:hAnsi="Times New Roman"/>
                <w:b/>
                <w:bCs/>
                <w:color w:val="000000"/>
                <w:sz w:val="24"/>
                <w:szCs w:val="24"/>
              </w:rPr>
            </w:pPr>
            <w:r w:rsidRPr="00C058B7">
              <w:rPr>
                <w:rFonts w:ascii="Times New Roman" w:eastAsia="Times New Roman" w:hAnsi="Times New Roman"/>
                <w:b/>
                <w:bCs/>
                <w:color w:val="000000"/>
                <w:sz w:val="24"/>
                <w:szCs w:val="24"/>
              </w:rPr>
              <w:t>Clinical items at 0.80</w:t>
            </w:r>
          </w:p>
        </w:tc>
      </w:tr>
      <w:tr w:rsidR="00C058B7" w:rsidRPr="00C058B7" w14:paraId="4157FB42" w14:textId="77777777" w:rsidTr="00C058B7">
        <w:trPr>
          <w:trHeight w:val="330"/>
        </w:trPr>
        <w:tc>
          <w:tcPr>
            <w:tcW w:w="960" w:type="dxa"/>
            <w:noWrap/>
            <w:hideMark/>
          </w:tcPr>
          <w:p w14:paraId="4749DB6C"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1–8</w:t>
            </w:r>
          </w:p>
        </w:tc>
        <w:tc>
          <w:tcPr>
            <w:tcW w:w="2616" w:type="dxa"/>
            <w:noWrap/>
            <w:hideMark/>
          </w:tcPr>
          <w:p w14:paraId="7773A6FC"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Recognition of disorders</w:t>
            </w:r>
          </w:p>
        </w:tc>
        <w:tc>
          <w:tcPr>
            <w:tcW w:w="2199" w:type="dxa"/>
            <w:noWrap/>
            <w:hideMark/>
          </w:tcPr>
          <w:p w14:paraId="2AD9FFD8"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0.93</w:t>
            </w:r>
          </w:p>
        </w:tc>
        <w:tc>
          <w:tcPr>
            <w:tcW w:w="1800" w:type="dxa"/>
            <w:noWrap/>
            <w:hideMark/>
          </w:tcPr>
          <w:p w14:paraId="0838C356"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0.67</w:t>
            </w:r>
          </w:p>
        </w:tc>
        <w:tc>
          <w:tcPr>
            <w:tcW w:w="1282" w:type="dxa"/>
            <w:noWrap/>
            <w:hideMark/>
          </w:tcPr>
          <w:p w14:paraId="04AA60C2"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0.26</w:t>
            </w:r>
          </w:p>
        </w:tc>
        <w:tc>
          <w:tcPr>
            <w:tcW w:w="1868" w:type="dxa"/>
            <w:noWrap/>
            <w:hideMark/>
          </w:tcPr>
          <w:p w14:paraId="174EB3E4"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2 of 8</w:t>
            </w:r>
          </w:p>
        </w:tc>
      </w:tr>
      <w:tr w:rsidR="00C058B7" w:rsidRPr="00C058B7" w14:paraId="63D9F96C" w14:textId="77777777" w:rsidTr="00C058B7">
        <w:trPr>
          <w:trHeight w:val="330"/>
        </w:trPr>
        <w:tc>
          <w:tcPr>
            <w:tcW w:w="960" w:type="dxa"/>
            <w:noWrap/>
            <w:hideMark/>
          </w:tcPr>
          <w:p w14:paraId="674EED1D"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9–10</w:t>
            </w:r>
          </w:p>
        </w:tc>
        <w:tc>
          <w:tcPr>
            <w:tcW w:w="2616" w:type="dxa"/>
            <w:noWrap/>
            <w:hideMark/>
          </w:tcPr>
          <w:p w14:paraId="59EB5F14"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Risk factors and causes</w:t>
            </w:r>
          </w:p>
        </w:tc>
        <w:tc>
          <w:tcPr>
            <w:tcW w:w="2199" w:type="dxa"/>
            <w:noWrap/>
            <w:hideMark/>
          </w:tcPr>
          <w:p w14:paraId="35AB7189"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0.82</w:t>
            </w:r>
          </w:p>
        </w:tc>
        <w:tc>
          <w:tcPr>
            <w:tcW w:w="1800" w:type="dxa"/>
            <w:noWrap/>
            <w:hideMark/>
          </w:tcPr>
          <w:p w14:paraId="0D2F647F"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0.15</w:t>
            </w:r>
          </w:p>
        </w:tc>
        <w:tc>
          <w:tcPr>
            <w:tcW w:w="1282" w:type="dxa"/>
            <w:noWrap/>
            <w:hideMark/>
          </w:tcPr>
          <w:p w14:paraId="6E2F19CD"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0.67</w:t>
            </w:r>
          </w:p>
        </w:tc>
        <w:tc>
          <w:tcPr>
            <w:tcW w:w="1868" w:type="dxa"/>
            <w:noWrap/>
            <w:hideMark/>
          </w:tcPr>
          <w:p w14:paraId="1FFDBA1F"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0 of 2</w:t>
            </w:r>
          </w:p>
        </w:tc>
      </w:tr>
      <w:tr w:rsidR="00C058B7" w:rsidRPr="00C058B7" w14:paraId="65C126D6" w14:textId="77777777" w:rsidTr="00C058B7">
        <w:trPr>
          <w:trHeight w:val="330"/>
        </w:trPr>
        <w:tc>
          <w:tcPr>
            <w:tcW w:w="960" w:type="dxa"/>
            <w:noWrap/>
            <w:hideMark/>
          </w:tcPr>
          <w:p w14:paraId="3C428CFC"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11–12</w:t>
            </w:r>
          </w:p>
        </w:tc>
        <w:tc>
          <w:tcPr>
            <w:tcW w:w="2616" w:type="dxa"/>
            <w:noWrap/>
            <w:hideMark/>
          </w:tcPr>
          <w:p w14:paraId="602776D6"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Self-treatment knowledge</w:t>
            </w:r>
          </w:p>
        </w:tc>
        <w:tc>
          <w:tcPr>
            <w:tcW w:w="2199" w:type="dxa"/>
            <w:noWrap/>
            <w:hideMark/>
          </w:tcPr>
          <w:p w14:paraId="6506E108"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0.96</w:t>
            </w:r>
          </w:p>
        </w:tc>
        <w:tc>
          <w:tcPr>
            <w:tcW w:w="1800" w:type="dxa"/>
            <w:noWrap/>
            <w:hideMark/>
          </w:tcPr>
          <w:p w14:paraId="53F3E252"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0.65</w:t>
            </w:r>
          </w:p>
        </w:tc>
        <w:tc>
          <w:tcPr>
            <w:tcW w:w="1282" w:type="dxa"/>
            <w:noWrap/>
            <w:hideMark/>
          </w:tcPr>
          <w:p w14:paraId="4E3E4BA4"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0.31</w:t>
            </w:r>
          </w:p>
        </w:tc>
        <w:tc>
          <w:tcPr>
            <w:tcW w:w="1868" w:type="dxa"/>
            <w:noWrap/>
            <w:hideMark/>
          </w:tcPr>
          <w:p w14:paraId="46E8A2FA"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1 of 2</w:t>
            </w:r>
          </w:p>
        </w:tc>
      </w:tr>
      <w:tr w:rsidR="00C058B7" w:rsidRPr="00C058B7" w14:paraId="2662A94B" w14:textId="77777777" w:rsidTr="00C058B7">
        <w:trPr>
          <w:trHeight w:val="330"/>
        </w:trPr>
        <w:tc>
          <w:tcPr>
            <w:tcW w:w="960" w:type="dxa"/>
            <w:noWrap/>
            <w:hideMark/>
          </w:tcPr>
          <w:p w14:paraId="3DFBCDAA"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13–15</w:t>
            </w:r>
          </w:p>
        </w:tc>
        <w:tc>
          <w:tcPr>
            <w:tcW w:w="2616" w:type="dxa"/>
            <w:noWrap/>
            <w:hideMark/>
          </w:tcPr>
          <w:p w14:paraId="000DB825"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Professional help available</w:t>
            </w:r>
          </w:p>
        </w:tc>
        <w:tc>
          <w:tcPr>
            <w:tcW w:w="2199" w:type="dxa"/>
            <w:noWrap/>
            <w:hideMark/>
          </w:tcPr>
          <w:p w14:paraId="295E1E90"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0.97</w:t>
            </w:r>
          </w:p>
        </w:tc>
        <w:tc>
          <w:tcPr>
            <w:tcW w:w="1800" w:type="dxa"/>
            <w:noWrap/>
            <w:hideMark/>
          </w:tcPr>
          <w:p w14:paraId="1AC739DB"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0.8</w:t>
            </w:r>
          </w:p>
        </w:tc>
        <w:tc>
          <w:tcPr>
            <w:tcW w:w="1282" w:type="dxa"/>
            <w:noWrap/>
            <w:hideMark/>
          </w:tcPr>
          <w:p w14:paraId="680348DE"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0.17</w:t>
            </w:r>
          </w:p>
        </w:tc>
        <w:tc>
          <w:tcPr>
            <w:tcW w:w="1868" w:type="dxa"/>
            <w:noWrap/>
            <w:hideMark/>
          </w:tcPr>
          <w:p w14:paraId="610F6355"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2 of 3</w:t>
            </w:r>
          </w:p>
        </w:tc>
      </w:tr>
      <w:tr w:rsidR="00C058B7" w:rsidRPr="00C058B7" w14:paraId="244FE8F2" w14:textId="77777777" w:rsidTr="00C058B7">
        <w:trPr>
          <w:trHeight w:val="330"/>
        </w:trPr>
        <w:tc>
          <w:tcPr>
            <w:tcW w:w="960" w:type="dxa"/>
            <w:noWrap/>
            <w:hideMark/>
          </w:tcPr>
          <w:p w14:paraId="32056DED"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16–19</w:t>
            </w:r>
          </w:p>
        </w:tc>
        <w:tc>
          <w:tcPr>
            <w:tcW w:w="2616" w:type="dxa"/>
            <w:noWrap/>
            <w:hideMark/>
          </w:tcPr>
          <w:p w14:paraId="1556E21C"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Where to seek information</w:t>
            </w:r>
          </w:p>
        </w:tc>
        <w:tc>
          <w:tcPr>
            <w:tcW w:w="2199" w:type="dxa"/>
            <w:noWrap/>
            <w:hideMark/>
          </w:tcPr>
          <w:p w14:paraId="412D0AD0"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1</w:t>
            </w:r>
          </w:p>
        </w:tc>
        <w:tc>
          <w:tcPr>
            <w:tcW w:w="1800" w:type="dxa"/>
            <w:noWrap/>
            <w:hideMark/>
          </w:tcPr>
          <w:p w14:paraId="7804A1B4"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0.95</w:t>
            </w:r>
          </w:p>
        </w:tc>
        <w:tc>
          <w:tcPr>
            <w:tcW w:w="1282" w:type="dxa"/>
            <w:noWrap/>
            <w:hideMark/>
          </w:tcPr>
          <w:p w14:paraId="64BC75EB"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0.05</w:t>
            </w:r>
          </w:p>
        </w:tc>
        <w:tc>
          <w:tcPr>
            <w:tcW w:w="1868" w:type="dxa"/>
            <w:noWrap/>
            <w:hideMark/>
          </w:tcPr>
          <w:p w14:paraId="2D049835"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4 of 4</w:t>
            </w:r>
          </w:p>
        </w:tc>
      </w:tr>
      <w:tr w:rsidR="00C058B7" w:rsidRPr="00C058B7" w14:paraId="15161837" w14:textId="77777777" w:rsidTr="00C058B7">
        <w:trPr>
          <w:trHeight w:val="330"/>
        </w:trPr>
        <w:tc>
          <w:tcPr>
            <w:tcW w:w="960" w:type="dxa"/>
            <w:noWrap/>
            <w:hideMark/>
          </w:tcPr>
          <w:p w14:paraId="28A84E87"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20–28</w:t>
            </w:r>
          </w:p>
        </w:tc>
        <w:tc>
          <w:tcPr>
            <w:tcW w:w="2616" w:type="dxa"/>
            <w:noWrap/>
            <w:hideMark/>
          </w:tcPr>
          <w:p w14:paraId="5BD956E0"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Attitudes and stigma</w:t>
            </w:r>
          </w:p>
        </w:tc>
        <w:tc>
          <w:tcPr>
            <w:tcW w:w="2199" w:type="dxa"/>
            <w:noWrap/>
            <w:hideMark/>
          </w:tcPr>
          <w:p w14:paraId="3BE6B44E"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0.96</w:t>
            </w:r>
          </w:p>
        </w:tc>
        <w:tc>
          <w:tcPr>
            <w:tcW w:w="1800" w:type="dxa"/>
            <w:noWrap/>
            <w:hideMark/>
          </w:tcPr>
          <w:p w14:paraId="1C9FE184"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0.46</w:t>
            </w:r>
          </w:p>
        </w:tc>
        <w:tc>
          <w:tcPr>
            <w:tcW w:w="1282" w:type="dxa"/>
            <w:noWrap/>
            <w:hideMark/>
          </w:tcPr>
          <w:p w14:paraId="3C9B3BE0"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0.5</w:t>
            </w:r>
          </w:p>
        </w:tc>
        <w:tc>
          <w:tcPr>
            <w:tcW w:w="1868" w:type="dxa"/>
            <w:noWrap/>
            <w:hideMark/>
          </w:tcPr>
          <w:p w14:paraId="2A54DFAF"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0 of 9</w:t>
            </w:r>
          </w:p>
        </w:tc>
      </w:tr>
      <w:tr w:rsidR="00C058B7" w:rsidRPr="00C058B7" w14:paraId="1E22F042" w14:textId="77777777" w:rsidTr="00C058B7">
        <w:trPr>
          <w:trHeight w:val="330"/>
        </w:trPr>
        <w:tc>
          <w:tcPr>
            <w:tcW w:w="960" w:type="dxa"/>
            <w:noWrap/>
            <w:hideMark/>
          </w:tcPr>
          <w:p w14:paraId="0BABAF14"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29–35</w:t>
            </w:r>
          </w:p>
        </w:tc>
        <w:tc>
          <w:tcPr>
            <w:tcW w:w="2616" w:type="dxa"/>
            <w:noWrap/>
            <w:hideMark/>
          </w:tcPr>
          <w:p w14:paraId="5468557A"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Social distance</w:t>
            </w:r>
          </w:p>
        </w:tc>
        <w:tc>
          <w:tcPr>
            <w:tcW w:w="2199" w:type="dxa"/>
            <w:noWrap/>
            <w:hideMark/>
          </w:tcPr>
          <w:p w14:paraId="41A40089"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0.96</w:t>
            </w:r>
          </w:p>
        </w:tc>
        <w:tc>
          <w:tcPr>
            <w:tcW w:w="1800" w:type="dxa"/>
            <w:noWrap/>
            <w:hideMark/>
          </w:tcPr>
          <w:p w14:paraId="4BB57218"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0.64</w:t>
            </w:r>
          </w:p>
        </w:tc>
        <w:tc>
          <w:tcPr>
            <w:tcW w:w="1282" w:type="dxa"/>
            <w:noWrap/>
            <w:hideMark/>
          </w:tcPr>
          <w:p w14:paraId="0AE6D2E5"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0.32</w:t>
            </w:r>
          </w:p>
        </w:tc>
        <w:tc>
          <w:tcPr>
            <w:tcW w:w="1868" w:type="dxa"/>
            <w:noWrap/>
            <w:hideMark/>
          </w:tcPr>
          <w:p w14:paraId="54355C4E"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1 of 7</w:t>
            </w:r>
          </w:p>
        </w:tc>
      </w:tr>
      <w:tr w:rsidR="00C058B7" w:rsidRPr="00C058B7" w14:paraId="3E6FE52C" w14:textId="77777777" w:rsidTr="00C058B7">
        <w:trPr>
          <w:trHeight w:val="330"/>
        </w:trPr>
        <w:tc>
          <w:tcPr>
            <w:tcW w:w="960" w:type="dxa"/>
            <w:noWrap/>
            <w:hideMark/>
          </w:tcPr>
          <w:p w14:paraId="3D67D83D"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All 35</w:t>
            </w:r>
          </w:p>
        </w:tc>
        <w:tc>
          <w:tcPr>
            <w:tcW w:w="2616" w:type="dxa"/>
            <w:noWrap/>
            <w:hideMark/>
          </w:tcPr>
          <w:p w14:paraId="53DF61D8"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w:t>
            </w:r>
          </w:p>
        </w:tc>
        <w:tc>
          <w:tcPr>
            <w:tcW w:w="2199" w:type="dxa"/>
            <w:noWrap/>
            <w:hideMark/>
          </w:tcPr>
          <w:p w14:paraId="3BB97276"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0.95</w:t>
            </w:r>
          </w:p>
        </w:tc>
        <w:tc>
          <w:tcPr>
            <w:tcW w:w="1800" w:type="dxa"/>
            <w:noWrap/>
            <w:hideMark/>
          </w:tcPr>
          <w:p w14:paraId="5468EE49"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0.62</w:t>
            </w:r>
          </w:p>
        </w:tc>
        <w:tc>
          <w:tcPr>
            <w:tcW w:w="1282" w:type="dxa"/>
            <w:noWrap/>
            <w:hideMark/>
          </w:tcPr>
          <w:p w14:paraId="588A430E"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0.33</w:t>
            </w:r>
          </w:p>
        </w:tc>
        <w:tc>
          <w:tcPr>
            <w:tcW w:w="1868" w:type="dxa"/>
            <w:noWrap/>
            <w:hideMark/>
          </w:tcPr>
          <w:p w14:paraId="4B3B5670"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10 of 35</w:t>
            </w:r>
          </w:p>
        </w:tc>
      </w:tr>
    </w:tbl>
    <w:p w14:paraId="65B7A4B2" w14:textId="77777777" w:rsidR="00C058B7" w:rsidRPr="00C058B7" w:rsidRDefault="00C058B7" w:rsidP="00C058B7">
      <w:pPr>
        <w:spacing w:before="240" w:after="240" w:line="240" w:lineRule="auto"/>
        <w:jc w:val="both"/>
        <w:rPr>
          <w:rFonts w:ascii="Times New Roman" w:hAnsi="Times New Roman"/>
          <w:sz w:val="24"/>
          <w:szCs w:val="24"/>
        </w:rPr>
      </w:pPr>
      <w:r w:rsidRPr="00C058B7">
        <w:rPr>
          <w:rFonts w:ascii="Times New Roman" w:eastAsia="Times New Roman" w:hAnsi="Times New Roman"/>
          <w:i/>
          <w:iCs/>
          <w:sz w:val="24"/>
          <w:szCs w:val="24"/>
        </w:rPr>
        <w:t>Note. Computed from the item-level indices reported by Korhonen et al. (2019). Values are mean item-level content validity indices; the difference column is research-panel mean minus clinical-panel mean. The reconstruction reproduces both published scale averages and the published count of ten items meeting the 0.80 threshold in the clinical panel.</w:t>
      </w:r>
    </w:p>
    <w:p w14:paraId="51362717"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Three mechanisms are separable in the authors’ own item-level commentary, and only one of them is a knowledge deficit. The first is instrument content. The two lowest-rated items in the entire scale, at 0.10 and 0.20, are the two that anchor epidemiological claims to Australia. The recorded rationale is that raters in both panels judged these items relevant only if the location were changed, and that no local epidemiological evidence existed against which to assess them; both were subsequently rewritten to a global frame. That is a defect in the instrument as administered rather than a deficiency in the raters, and it is this review’s argument appearing inside the region’s only content validation.</w:t>
      </w:r>
    </w:p>
    <w:p w14:paraId="258682CF"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The second is confounding of the rating task. The authors report that the clinical panel had difficulty separating a judgement of an item’s relevance from a response to the item itself, and that on three attitude items the recorded comments reflected raters’ own views about mental illness rather than any assessment of relevance; those items were retained unchanged for that reason. This predicts precisely the observed concentration of low ratings in the attitude and social-distance blocks, which are the items on which one’s own position is most readily substituted for a relevance judgement. It also accounts for a figure otherwise difficult to reconcile with a scale average of 0.62: the same panel, in discussion rather than in rating, reached a consensus of relevance on 32 of the 35 items.</w:t>
      </w:r>
    </w:p>
    <w:p w14:paraId="345516CB"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lastRenderedPageBreak/>
        <w:t xml:space="preserve">The third is the asymmetry of the panels. The research panel comprised psychiatrists, psychologists and psychotherapists, with fifteen or more years of experience in eight of eleven cases, and was drawn from the team conducting the project for which the instrument was being adapted. The clinical panel comprised primary health care workers at a single clinic, none with a research background, half with up to five years of experience and none holding a master’s qualification. The research panel was therefore rating an instrument written in its own professional vocabulary, for a project it was itself running, which is the condition under which </w:t>
      </w:r>
      <w:proofErr w:type="spellStart"/>
      <w:r w:rsidRPr="00C058B7">
        <w:rPr>
          <w:rFonts w:ascii="Times New Roman" w:eastAsia="Times New Roman" w:hAnsi="Times New Roman"/>
          <w:sz w:val="24"/>
          <w:szCs w:val="24"/>
        </w:rPr>
        <w:t>favourable</w:t>
      </w:r>
      <w:proofErr w:type="spellEnd"/>
      <w:r w:rsidRPr="00C058B7">
        <w:rPr>
          <w:rFonts w:ascii="Times New Roman" w:eastAsia="Times New Roman" w:hAnsi="Times New Roman"/>
          <w:sz w:val="24"/>
          <w:szCs w:val="24"/>
        </w:rPr>
        <w:t xml:space="preserve"> relevance ratings carry least information. The final decision to retain or revise each item rested on that panel’s ratings.</w:t>
      </w:r>
    </w:p>
    <w:p w14:paraId="3F582A2F"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A subsequent content validation in an unrelated setting supports the first mechanism against the third. Adapting the same instrument for Emirati perinatal patients, </w:t>
      </w:r>
      <w:proofErr w:type="spellStart"/>
      <w:r w:rsidRPr="00C058B7">
        <w:rPr>
          <w:rFonts w:ascii="Times New Roman" w:eastAsia="Times New Roman" w:hAnsi="Times New Roman"/>
          <w:sz w:val="24"/>
          <w:szCs w:val="24"/>
        </w:rPr>
        <w:t>ElKhalil</w:t>
      </w:r>
      <w:proofErr w:type="spellEnd"/>
      <w:r w:rsidRPr="00C058B7">
        <w:rPr>
          <w:rFonts w:ascii="Times New Roman" w:eastAsia="Times New Roman" w:hAnsi="Times New Roman"/>
          <w:sz w:val="24"/>
          <w:szCs w:val="24"/>
        </w:rPr>
        <w:t xml:space="preserve"> and colleagues (2025) found the items on risks and causes of mental disorder, on personality disorders, and on willingness to vote for a politician with a mental illness to be the ones professionals judged least relevant, and found patients rating as less relevant the items on specific disorders, on causes and risks, on self-treatment knowledge and on cognitive </w:t>
      </w:r>
      <w:proofErr w:type="spellStart"/>
      <w:r w:rsidRPr="00C058B7">
        <w:rPr>
          <w:rFonts w:ascii="Times New Roman" w:eastAsia="Times New Roman" w:hAnsi="Times New Roman"/>
          <w:sz w:val="24"/>
          <w:szCs w:val="24"/>
        </w:rPr>
        <w:t>behavioural</w:t>
      </w:r>
      <w:proofErr w:type="spellEnd"/>
      <w:r w:rsidRPr="00C058B7">
        <w:rPr>
          <w:rFonts w:ascii="Times New Roman" w:eastAsia="Times New Roman" w:hAnsi="Times New Roman"/>
          <w:sz w:val="24"/>
          <w:szCs w:val="24"/>
        </w:rPr>
        <w:t xml:space="preserve"> therapy. These are substantially the blocks that failed in Lusaka. A Zambian primary health care worker and an Emirati perinatal patient do not plausibly share a deficit in mental health knowledge, but they can share an encounter with items that do not fit them.</w:t>
      </w:r>
    </w:p>
    <w:p w14:paraId="34572F02"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What follows for the present review is narrower and firmer than an appeal to two irreconcilable readings. The divergence does not establish that the instrument’s items are irrelevant to a population lacking clinical vocabulary, and no such claim is made here. What the item-level data do establish is that the divergence concentrates where item content is anchored to a context that does not obtain locally, and where the relevance judgement is confounded with self-report, and that it is near-absent where items concern the rater’s own confidence in seeking information. Two design implications follow, and both bear on the agenda set out below. Content validation in a new population should separate the rating of relevance from response to the items, since the only regional precedent shows the two collapsing into one another. And an item that anchors a factual claim to a specific national context requires substantive revision rather than translation, because no degree of linguistic adaptation repairs an item whose referent is locally absent.</w:t>
      </w:r>
    </w:p>
    <w:p w14:paraId="0FB322B7"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That work is in any case the closest available precedent and it does not reach this population. It was conducted in two other countries, in primary health care rather than industry, with a workforce whose professional training includes clinical vocabulary that an energy-sector workforce has no occasion to acquire. Health workers are, of all occupational groups, the least representative test of whether a biomedically framed literacy instrument travels: they are the group for whom the instrument's vocabulary is native. That even within that group the frontline panel diverged so sharply from the research panel is the more striking for it.</w:t>
      </w:r>
    </w:p>
    <w:p w14:paraId="664788CA"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4"/>
          <w:szCs w:val="24"/>
        </w:rPr>
        <w:t xml:space="preserve">The conditions of </w:t>
      </w:r>
      <w:proofErr w:type="spellStart"/>
      <w:r w:rsidRPr="00C058B7">
        <w:rPr>
          <w:rFonts w:ascii="Times New Roman" w:eastAsia="Times New Roman" w:hAnsi="Times New Roman"/>
          <w:b/>
          <w:bCs/>
          <w:sz w:val="24"/>
          <w:szCs w:val="24"/>
        </w:rPr>
        <w:t>licence</w:t>
      </w:r>
      <w:proofErr w:type="spellEnd"/>
    </w:p>
    <w:p w14:paraId="6157A411"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The position this review takes is therefore neither that the scale can be used here nor that it cannot, but that its use is presently unlicensed, and that what would license it is specifiable. Four conditions follow.</w:t>
      </w:r>
    </w:p>
    <w:p w14:paraId="7A3E1596"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Content validation must be conducted with the target population, not inferred from validation in an adjacent one. Given that content validity is the weakest domain in the instrument's evidence base generally, and that the regional validation divided sharply by panel, it cannot be the domain assumed in a new setting.</w:t>
      </w:r>
    </w:p>
    <w:p w14:paraId="3ACF0D89"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Translation procedures must be conducted and reported to a standard that permits evaluation. Translation is not itself a measurement property; it belongs to the development of a new version of an instrument. Its significance is that a cross-cultural validity claim about the resulting version cannot be interpreted without it. The systematic review of idiom integration found translation procedures generally reported inadequately, leaving validity claims difficult to assess (Cork et al., 2019). Reporting is not a clerical matter here; it is the evidence.</w:t>
      </w:r>
    </w:p>
    <w:p w14:paraId="344705EE" w14:textId="77777777" w:rsidR="00C058B7" w:rsidRDefault="00C058B7" w:rsidP="00C058B7">
      <w:pPr>
        <w:spacing w:after="240" w:line="240" w:lineRule="auto"/>
        <w:jc w:val="both"/>
        <w:rPr>
          <w:rFonts w:ascii="Times New Roman" w:eastAsia="Times New Roman" w:hAnsi="Times New Roman"/>
          <w:sz w:val="24"/>
          <w:szCs w:val="24"/>
        </w:rPr>
      </w:pPr>
      <w:r w:rsidRPr="00C058B7">
        <w:rPr>
          <w:rFonts w:ascii="Times New Roman" w:eastAsia="Times New Roman" w:hAnsi="Times New Roman"/>
          <w:sz w:val="24"/>
          <w:szCs w:val="24"/>
        </w:rPr>
        <w:t xml:space="preserve">Recognition must be assessed in a form that does not equate literacy with biomedical labelling. This condition is sharper in Zimbabwe than the general argument implies, because the prevailing local concept is reported as not specifically related to depression or to anxiety (Patel et al., 1995). The mismatch is therefore not only </w:t>
      </w:r>
      <w:proofErr w:type="spellStart"/>
      <w:r>
        <w:rPr>
          <w:rFonts w:ascii="Times New Roman" w:eastAsia="Times New Roman" w:hAnsi="Times New Roman"/>
          <w:sz w:val="24"/>
          <w:szCs w:val="24"/>
        </w:rPr>
        <w:t>lexi</w:t>
      </w:r>
      <w:proofErr w:type="spellEnd"/>
      <w:r>
        <w:rPr>
          <w:rFonts w:ascii="Times New Roman" w:eastAsia="Times New Roman" w:hAnsi="Times New Roman"/>
          <w:sz w:val="24"/>
          <w:szCs w:val="24"/>
        </w:rPr>
        <w:t>-</w:t>
      </w:r>
    </w:p>
    <w:p w14:paraId="23BB480A" w14:textId="77777777" w:rsidR="00C058B7" w:rsidRPr="00C058B7" w:rsidRDefault="00C058B7" w:rsidP="00C058B7">
      <w:pPr>
        <w:spacing w:after="240" w:line="240" w:lineRule="auto"/>
        <w:jc w:val="both"/>
        <w:rPr>
          <w:rFonts w:ascii="Times New Roman" w:hAnsi="Times New Roman"/>
          <w:sz w:val="24"/>
          <w:szCs w:val="24"/>
        </w:rPr>
      </w:pPr>
      <w:r>
        <w:rPr>
          <w:rFonts w:ascii="Times New Roman" w:eastAsia="Times New Roman" w:hAnsi="Times New Roman"/>
          <w:sz w:val="24"/>
          <w:szCs w:val="24"/>
        </w:rPr>
        <w:lastRenderedPageBreak/>
        <w:t>c</w:t>
      </w:r>
      <w:r w:rsidRPr="00C058B7">
        <w:rPr>
          <w:rFonts w:ascii="Times New Roman" w:eastAsia="Times New Roman" w:hAnsi="Times New Roman"/>
          <w:sz w:val="24"/>
          <w:szCs w:val="24"/>
        </w:rPr>
        <w:t>al but structural: an instrument scoring recognition through the production of disorder-specific labels asks for a specificity the local concept does not carry, and will systematically underestimate literacy in consequence. Whether it does so in this workforce, and by how much, is an empirical question that has not been asked.</w:t>
      </w:r>
    </w:p>
    <w:p w14:paraId="62C77389"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Structural validity must be examined in the population, and measurement invariance tested across the language communities present in the workforce, rather than either being assumed from the original validation. The instability documented across settings, and within this region in particular, makes both empirical questions rather than inherited properties.</w:t>
      </w:r>
    </w:p>
    <w:p w14:paraId="18A828B0"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4"/>
          <w:szCs w:val="24"/>
        </w:rPr>
        <w:t>Adapt or build, and why the question is answerable</w:t>
      </w:r>
    </w:p>
    <w:p w14:paraId="062D9A38"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Two routes satisfy these conditions. The adaptation route retains the Mental Health Literacy Scale and subjects it to content validation, fully reported translation, and structural and invariance examination in the target population. Its advantage is comparability with an international literature. Its risk is the one Cork and colleagues identify, that adaptation consists of inserting local concepts into an instrument built elsewhere, preserving the original’s assumptions about what recognition consists of (Cork et al., 2019). The development route builds upward from local concepts, following the procedure by which the Shona Symptom Questionnaire was constructed: qualitative elicitation of how the population articulates distress, item generation from that material, and empirical reduction against a criterion (Patel et al., 1997). Its advantage is that it addresses the content-validity problem at the point of origin rather than retrospectively. Its cost is comparability and considerable resource.</w:t>
      </w:r>
    </w:p>
    <w:p w14:paraId="1E820540"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The choice between them is usually made before the evidence that would inform it exists. It need not be. The two routes diverge only at the point of item generation; everything before that point is common to both, and everything after it is the same sequence of psychometric work applied to a different item pool. The elicitation that would begin an emic development is also the elicitation that would license a content validation of the existing instrument. It is therefore possible, and considerably cheaper than committing blind, to run the common steps first and take the decision on their evidence.</w:t>
      </w:r>
    </w:p>
    <w:p w14:paraId="7D1036D9"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4"/>
          <w:szCs w:val="24"/>
        </w:rPr>
        <w:t>Self-harm and suicidality as a distinct literacy domain</w:t>
      </w:r>
    </w:p>
    <w:p w14:paraId="7215116C"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Workplace mental health literacy research routinely treats self-harm and suicidality as a severity extension of common mental disorder literacy — the same construct, further along. That treatment is mistaken on three independent grounds: the construct is separately </w:t>
      </w:r>
      <w:proofErr w:type="spellStart"/>
      <w:r w:rsidRPr="00C058B7">
        <w:rPr>
          <w:rFonts w:ascii="Times New Roman" w:eastAsia="Times New Roman" w:hAnsi="Times New Roman"/>
          <w:sz w:val="24"/>
          <w:szCs w:val="24"/>
        </w:rPr>
        <w:t>operationalised</w:t>
      </w:r>
      <w:proofErr w:type="spellEnd"/>
      <w:r w:rsidRPr="00C058B7">
        <w:rPr>
          <w:rFonts w:ascii="Times New Roman" w:eastAsia="Times New Roman" w:hAnsi="Times New Roman"/>
          <w:sz w:val="24"/>
          <w:szCs w:val="24"/>
        </w:rPr>
        <w:t>, the disclosure conditions differ in kind rather than degree, and the research obligations that attach are not those that attach to studying depression recognition.</w:t>
      </w:r>
    </w:p>
    <w:p w14:paraId="2D4A6056"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4"/>
          <w:szCs w:val="24"/>
        </w:rPr>
        <w:t xml:space="preserve">A separately </w:t>
      </w:r>
      <w:proofErr w:type="spellStart"/>
      <w:r w:rsidRPr="00C058B7">
        <w:rPr>
          <w:rFonts w:ascii="Times New Roman" w:eastAsia="Times New Roman" w:hAnsi="Times New Roman"/>
          <w:b/>
          <w:bCs/>
          <w:sz w:val="24"/>
          <w:szCs w:val="24"/>
        </w:rPr>
        <w:t>operationalised</w:t>
      </w:r>
      <w:proofErr w:type="spellEnd"/>
      <w:r w:rsidRPr="00C058B7">
        <w:rPr>
          <w:rFonts w:ascii="Times New Roman" w:eastAsia="Times New Roman" w:hAnsi="Times New Roman"/>
          <w:b/>
          <w:bCs/>
          <w:sz w:val="24"/>
          <w:szCs w:val="24"/>
        </w:rPr>
        <w:t xml:space="preserve"> construct</w:t>
      </w:r>
    </w:p>
    <w:p w14:paraId="195E7FB6"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Suicide literacy was developed on the basis of the mental health literacy framework but has its own instrumentation. The Literacy of Suicide Scale comprises 26 items across four dimensions — signs of suicide, risk factors, cause and nature, and treatment and prevention — developed with 658 participants and validated with a further 191, with item response theory used for item selection (</w:t>
      </w:r>
      <w:proofErr w:type="spellStart"/>
      <w:r w:rsidRPr="00C058B7">
        <w:rPr>
          <w:rFonts w:ascii="Times New Roman" w:eastAsia="Times New Roman" w:hAnsi="Times New Roman"/>
          <w:sz w:val="24"/>
          <w:szCs w:val="24"/>
        </w:rPr>
        <w:t>Calear</w:t>
      </w:r>
      <w:proofErr w:type="spellEnd"/>
      <w:r w:rsidRPr="00C058B7">
        <w:rPr>
          <w:rFonts w:ascii="Times New Roman" w:eastAsia="Times New Roman" w:hAnsi="Times New Roman"/>
          <w:sz w:val="24"/>
          <w:szCs w:val="24"/>
        </w:rPr>
        <w:t xml:space="preserve"> et al., 2022). That a distinct scale was required, rather than a suicide subscale within an existing literacy measure, reflects the field's judgement that the knowledge domains do not collapse into one another. Someone may </w:t>
      </w:r>
      <w:proofErr w:type="spellStart"/>
      <w:r w:rsidRPr="00C058B7">
        <w:rPr>
          <w:rFonts w:ascii="Times New Roman" w:eastAsia="Times New Roman" w:hAnsi="Times New Roman"/>
          <w:sz w:val="24"/>
          <w:szCs w:val="24"/>
        </w:rPr>
        <w:t>recognise</w:t>
      </w:r>
      <w:proofErr w:type="spellEnd"/>
      <w:r w:rsidRPr="00C058B7">
        <w:rPr>
          <w:rFonts w:ascii="Times New Roman" w:eastAsia="Times New Roman" w:hAnsi="Times New Roman"/>
          <w:sz w:val="24"/>
          <w:szCs w:val="24"/>
        </w:rPr>
        <w:t xml:space="preserve"> depression accurately and hold no accurate knowledge about suicide risk, or the reverse.</w:t>
      </w:r>
    </w:p>
    <w:p w14:paraId="595632FF"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The measurement caution developed above applies here with greater force. The scale has been translated and validated across a range of languages and populations, but no African validation was located in the course of this review, and the content-validity concern that attaches to literacy instrumentation generally attaches at least equally to an instrument whose items concern a phenomenon subject to more severe conceptual and moral variation across settings. That absence is not an artefact of the present search: a recent narrative review of suicide literacy in The Gambia reports no peer-reviewed survey of suicide-specific knowledge in that country and notes the limited peer-reviewed work validating suicide-literacy measures in West African cultures (</w:t>
      </w:r>
      <w:proofErr w:type="spellStart"/>
      <w:r w:rsidRPr="00C058B7">
        <w:rPr>
          <w:rFonts w:ascii="Times New Roman" w:eastAsia="Times New Roman" w:hAnsi="Times New Roman"/>
          <w:sz w:val="24"/>
          <w:szCs w:val="24"/>
        </w:rPr>
        <w:t>Eneojo</w:t>
      </w:r>
      <w:proofErr w:type="spellEnd"/>
      <w:r w:rsidRPr="00C058B7">
        <w:rPr>
          <w:rFonts w:ascii="Times New Roman" w:eastAsia="Times New Roman" w:hAnsi="Times New Roman"/>
          <w:sz w:val="24"/>
          <w:szCs w:val="24"/>
        </w:rPr>
        <w:t xml:space="preserve"> et al., 2026).</w:t>
      </w:r>
    </w:p>
    <w:p w14:paraId="5AEF3E39"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4"/>
          <w:szCs w:val="24"/>
        </w:rPr>
        <w:lastRenderedPageBreak/>
        <w:t>Terminology</w:t>
      </w:r>
    </w:p>
    <w:p w14:paraId="2732E587"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Precision matters here more than elsewhere, and imprecision is common. Self-harm is a </w:t>
      </w:r>
      <w:proofErr w:type="spellStart"/>
      <w:r w:rsidRPr="00C058B7">
        <w:rPr>
          <w:rFonts w:ascii="Times New Roman" w:eastAsia="Times New Roman" w:hAnsi="Times New Roman"/>
          <w:sz w:val="24"/>
          <w:szCs w:val="24"/>
        </w:rPr>
        <w:t>behaviour</w:t>
      </w:r>
      <w:proofErr w:type="spellEnd"/>
      <w:r w:rsidRPr="00C058B7">
        <w:rPr>
          <w:rFonts w:ascii="Times New Roman" w:eastAsia="Times New Roman" w:hAnsi="Times New Roman"/>
          <w:sz w:val="24"/>
          <w:szCs w:val="24"/>
        </w:rPr>
        <w:t xml:space="preserve">, not a disease category. Non-suicidal self-injury is distinguished from suicidal </w:t>
      </w:r>
      <w:proofErr w:type="spellStart"/>
      <w:r w:rsidRPr="00C058B7">
        <w:rPr>
          <w:rFonts w:ascii="Times New Roman" w:eastAsia="Times New Roman" w:hAnsi="Times New Roman"/>
          <w:sz w:val="24"/>
          <w:szCs w:val="24"/>
        </w:rPr>
        <w:t>behaviour</w:t>
      </w:r>
      <w:proofErr w:type="spellEnd"/>
      <w:r w:rsidRPr="00C058B7">
        <w:rPr>
          <w:rFonts w:ascii="Times New Roman" w:eastAsia="Times New Roman" w:hAnsi="Times New Roman"/>
          <w:sz w:val="24"/>
          <w:szCs w:val="24"/>
        </w:rPr>
        <w:t xml:space="preserve"> by the absence of intent to die, and non-suicidal self-injury disorder remains among the conditions for further study rather than a codified diagnosis; the DSM-5-TR does, however, list both suicidal </w:t>
      </w:r>
      <w:proofErr w:type="spellStart"/>
      <w:r w:rsidRPr="00C058B7">
        <w:rPr>
          <w:rFonts w:ascii="Times New Roman" w:eastAsia="Times New Roman" w:hAnsi="Times New Roman"/>
          <w:sz w:val="24"/>
          <w:szCs w:val="24"/>
        </w:rPr>
        <w:t>behaviour</w:t>
      </w:r>
      <w:proofErr w:type="spellEnd"/>
      <w:r w:rsidRPr="00C058B7">
        <w:rPr>
          <w:rFonts w:ascii="Times New Roman" w:eastAsia="Times New Roman" w:hAnsi="Times New Roman"/>
          <w:sz w:val="24"/>
          <w:szCs w:val="24"/>
        </w:rPr>
        <w:t xml:space="preserve"> and non-suicidal self-injury among other conditions that may be a focus of clinical attention, with codes assignable in the absence of any mental disorder diagnosis (American Psychiatric Association, 2022). Suicidality encompasses ideation, planning and attempt, which are distinct outcomes with distinct base rates and distinct predictive relationships. Formulations that merge these obscure differences that determine what an instrument should ask and what a workplace should do. This review uses self-harm, non-suicidal self-injury and suicidal </w:t>
      </w:r>
      <w:proofErr w:type="spellStart"/>
      <w:r w:rsidRPr="00C058B7">
        <w:rPr>
          <w:rFonts w:ascii="Times New Roman" w:eastAsia="Times New Roman" w:hAnsi="Times New Roman"/>
          <w:sz w:val="24"/>
          <w:szCs w:val="24"/>
        </w:rPr>
        <w:t>behaviour</w:t>
      </w:r>
      <w:proofErr w:type="spellEnd"/>
      <w:r w:rsidRPr="00C058B7">
        <w:rPr>
          <w:rFonts w:ascii="Times New Roman" w:eastAsia="Times New Roman" w:hAnsi="Times New Roman"/>
          <w:sz w:val="24"/>
          <w:szCs w:val="24"/>
        </w:rPr>
        <w:t xml:space="preserve"> as separate terms throughout.</w:t>
      </w:r>
    </w:p>
    <w:p w14:paraId="669C3732"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4"/>
          <w:szCs w:val="24"/>
        </w:rPr>
        <w:t>Occupational exposure and the disclosure problem</w:t>
      </w:r>
    </w:p>
    <w:p w14:paraId="11FE5A20"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The psychosocial exposures characteristic of utility work bear specifically on this domain. Long working hours and shift work are associated with increased odds of suicidal ideation, low job control with increased odds of suicide, job insecurity with risk of suicidal ideation, and low co-worker and supervisor support with suicidal ideation and suicide mortality (World Health Organization, 2022). These are not peripheral features of the sector but descriptions of it.</w:t>
      </w:r>
    </w:p>
    <w:p w14:paraId="65D432BF"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Measurement in this domain faces a threat distinct from the one identified above. There, the threat was conceptual: an instrument may fail to register recognition expressed in a different conceptual vocabulary. Here the threat is response bias under conditions of risk. Where disclosure of suicidal experience carries occupational consequences, legal exposure, or both, a literacy instrument administered in a workplace measures willingness to answer at least as much as it measures knowledge. Low scores would be uninterpretable, and high scores no more trustworthy.</w:t>
      </w:r>
    </w:p>
    <w:p w14:paraId="18ABC146"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The workplace intensifies this. In safety-critical roles, disclosure to a supervisor may plausibly trigger fitness-for-duty review. The incentive structure therefore runs against disclosure most strongly among workers whose roles carry the greatest hazard, which is to say among those for whom the consequences of </w:t>
      </w:r>
      <w:proofErr w:type="spellStart"/>
      <w:r w:rsidRPr="00C058B7">
        <w:rPr>
          <w:rFonts w:ascii="Times New Roman" w:eastAsia="Times New Roman" w:hAnsi="Times New Roman"/>
          <w:sz w:val="24"/>
          <w:szCs w:val="24"/>
        </w:rPr>
        <w:t>unrecognised</w:t>
      </w:r>
      <w:proofErr w:type="spellEnd"/>
      <w:r w:rsidRPr="00C058B7">
        <w:rPr>
          <w:rFonts w:ascii="Times New Roman" w:eastAsia="Times New Roman" w:hAnsi="Times New Roman"/>
          <w:sz w:val="24"/>
          <w:szCs w:val="24"/>
        </w:rPr>
        <w:t xml:space="preserve"> distress are gravest. The WHO guidance approaches the same point from the direction of practice, noting among its implementation remarks that raising awareness of mental health should be conducted only where options for mental health referral support are available to workers (World Health Organization, 2022). Literacy provision that improves knowledge without altering the conditions under which disclosure is safe and referral is possible has no obvious route by which to change </w:t>
      </w:r>
      <w:proofErr w:type="spellStart"/>
      <w:r w:rsidRPr="00C058B7">
        <w:rPr>
          <w:rFonts w:ascii="Times New Roman" w:eastAsia="Times New Roman" w:hAnsi="Times New Roman"/>
          <w:sz w:val="24"/>
          <w:szCs w:val="24"/>
        </w:rPr>
        <w:t>behaviour</w:t>
      </w:r>
      <w:proofErr w:type="spellEnd"/>
      <w:r w:rsidRPr="00C058B7">
        <w:rPr>
          <w:rFonts w:ascii="Times New Roman" w:eastAsia="Times New Roman" w:hAnsi="Times New Roman"/>
          <w:sz w:val="24"/>
          <w:szCs w:val="24"/>
        </w:rPr>
        <w:t>.</w:t>
      </w:r>
    </w:p>
    <w:p w14:paraId="102265E3"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The legal environment surrounding disclosure in Zimbabwe requires establishment rather than assumption, and this review does not assert a position on it. The point of method is that it is a parameter of any study in this domain, not a background detail: what a worker believes may follow from disclosure will shape the answers an instrument elicits, and that belief should be </w:t>
      </w:r>
      <w:proofErr w:type="spellStart"/>
      <w:r w:rsidRPr="00C058B7">
        <w:rPr>
          <w:rFonts w:ascii="Times New Roman" w:eastAsia="Times New Roman" w:hAnsi="Times New Roman"/>
          <w:sz w:val="24"/>
          <w:szCs w:val="24"/>
        </w:rPr>
        <w:t>characterised</w:t>
      </w:r>
      <w:proofErr w:type="spellEnd"/>
      <w:r w:rsidRPr="00C058B7">
        <w:rPr>
          <w:rFonts w:ascii="Times New Roman" w:eastAsia="Times New Roman" w:hAnsi="Times New Roman"/>
          <w:sz w:val="24"/>
          <w:szCs w:val="24"/>
        </w:rPr>
        <w:t xml:space="preserve"> empirically before fieldwork rather than inferred afterwards.</w:t>
      </w:r>
    </w:p>
    <w:p w14:paraId="12AB6592"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4"/>
          <w:szCs w:val="24"/>
        </w:rPr>
        <w:t>Research obligations</w:t>
      </w:r>
    </w:p>
    <w:p w14:paraId="54645D0B"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Studying this domain imposes requirements that studying depression recognition does not. A distress protocol is required as a component of the protocol document rather than an annex: what the fieldworker does upon disclosure, a named referral pathway confirmed to exist and to accept referrals, and a statement of the limits of confidentiality. That statement in turn constrains design, since a protocol that cannot promise anonymity will affect responding in the manner described above, and the tension between safeguarding and validity must be resolved deliberately rather than discovered late.</w:t>
      </w:r>
    </w:p>
    <w:p w14:paraId="29524205"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Instrument design should follow safe messaging principles, and items should not specify methods. Finally, where research is conducted with an employer's cooperation, the governance of the resulting data requires explicit settlement in advance. A worker who answers a researcher's questions about suicidal experience has </w:t>
      </w:r>
      <w:r w:rsidRPr="00C058B7">
        <w:rPr>
          <w:rFonts w:ascii="Times New Roman" w:eastAsia="Times New Roman" w:hAnsi="Times New Roman"/>
          <w:sz w:val="24"/>
          <w:szCs w:val="24"/>
        </w:rPr>
        <w:lastRenderedPageBreak/>
        <w:t>not consented to their employer learning of it, and in a safety-critical industry the employer has an evident interest in knowing. That conflict should be resolved in the protocol, in writing, before fieldwork begins.</w:t>
      </w:r>
    </w:p>
    <w:p w14:paraId="53BB772F"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4"/>
          <w:szCs w:val="24"/>
        </w:rPr>
        <w:t>Research agenda and implications</w:t>
      </w:r>
    </w:p>
    <w:p w14:paraId="59D816D8"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4"/>
          <w:szCs w:val="24"/>
        </w:rPr>
        <w:t>Reconciling the intervention evidence</w:t>
      </w:r>
    </w:p>
    <w:p w14:paraId="51F15554"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Before setting out what should be studied, the apparently conflicting evidence on whether literacy intervention achieves anything must be reconciled, since the answer shapes what any subsequent study is for.</w:t>
      </w:r>
    </w:p>
    <w:p w14:paraId="326350D5"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Three sources bear on it. A systematic review of interventions in male-dominated workplaces covering publications from 1990 to mid-2012 identified only five studies meeting inclusion criteria, and reported that effective components included improving mental health literacy and knowledge, increasing social support, improving access to treatment, manager education and addressing workload (Lee et al., 2014). A more recent systematic review, covering twelve studies of which two were rated methodologically strong, three moderate and seven weak, found that the strongest evidence of intervention effect related to mental health literacy and help-seeking intentions, with weaker evidence relating to help-offering, help-seeking </w:t>
      </w:r>
      <w:proofErr w:type="spellStart"/>
      <w:r w:rsidRPr="00C058B7">
        <w:rPr>
          <w:rFonts w:ascii="Times New Roman" w:eastAsia="Times New Roman" w:hAnsi="Times New Roman"/>
          <w:sz w:val="24"/>
          <w:szCs w:val="24"/>
        </w:rPr>
        <w:t>behaviours</w:t>
      </w:r>
      <w:proofErr w:type="spellEnd"/>
      <w:r w:rsidRPr="00C058B7">
        <w:rPr>
          <w:rFonts w:ascii="Times New Roman" w:eastAsia="Times New Roman" w:hAnsi="Times New Roman"/>
          <w:sz w:val="24"/>
          <w:szCs w:val="24"/>
        </w:rPr>
        <w:t xml:space="preserve"> and stigma (Roche et al., 2024). The WHO guidance reports improvements in knowledge and attitudes without demonstrated change in the provision of help to others or in actual help-seeking </w:t>
      </w:r>
      <w:proofErr w:type="spellStart"/>
      <w:r w:rsidRPr="00C058B7">
        <w:rPr>
          <w:rFonts w:ascii="Times New Roman" w:eastAsia="Times New Roman" w:hAnsi="Times New Roman"/>
          <w:sz w:val="24"/>
          <w:szCs w:val="24"/>
        </w:rPr>
        <w:t>behaviour</w:t>
      </w:r>
      <w:proofErr w:type="spellEnd"/>
      <w:r w:rsidRPr="00C058B7">
        <w:rPr>
          <w:rFonts w:ascii="Times New Roman" w:eastAsia="Times New Roman" w:hAnsi="Times New Roman"/>
          <w:sz w:val="24"/>
          <w:szCs w:val="24"/>
        </w:rPr>
        <w:t xml:space="preserve"> (World Health Organization, 2022).</w:t>
      </w:r>
    </w:p>
    <w:p w14:paraId="2720C2A3"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Read together these are not in conflict. They describe a consistent pattern in which knowledge and intentions shift while </w:t>
      </w:r>
      <w:proofErr w:type="spellStart"/>
      <w:r w:rsidRPr="00C058B7">
        <w:rPr>
          <w:rFonts w:ascii="Times New Roman" w:eastAsia="Times New Roman" w:hAnsi="Times New Roman"/>
          <w:sz w:val="24"/>
          <w:szCs w:val="24"/>
        </w:rPr>
        <w:t>behaviour</w:t>
      </w:r>
      <w:proofErr w:type="spellEnd"/>
      <w:r w:rsidRPr="00C058B7">
        <w:rPr>
          <w:rFonts w:ascii="Times New Roman" w:eastAsia="Times New Roman" w:hAnsi="Times New Roman"/>
          <w:sz w:val="24"/>
          <w:szCs w:val="24"/>
        </w:rPr>
        <w:t xml:space="preserve"> does not reliably follow. That is a </w:t>
      </w:r>
      <w:proofErr w:type="spellStart"/>
      <w:r w:rsidRPr="00C058B7">
        <w:rPr>
          <w:rFonts w:ascii="Times New Roman" w:eastAsia="Times New Roman" w:hAnsi="Times New Roman"/>
          <w:sz w:val="24"/>
          <w:szCs w:val="24"/>
        </w:rPr>
        <w:t>recognisable</w:t>
      </w:r>
      <w:proofErr w:type="spellEnd"/>
      <w:r w:rsidRPr="00C058B7">
        <w:rPr>
          <w:rFonts w:ascii="Times New Roman" w:eastAsia="Times New Roman" w:hAnsi="Times New Roman"/>
          <w:sz w:val="24"/>
          <w:szCs w:val="24"/>
        </w:rPr>
        <w:t xml:space="preserve"> intention–</w:t>
      </w:r>
      <w:proofErr w:type="spellStart"/>
      <w:r w:rsidRPr="00C058B7">
        <w:rPr>
          <w:rFonts w:ascii="Times New Roman" w:eastAsia="Times New Roman" w:hAnsi="Times New Roman"/>
          <w:sz w:val="24"/>
          <w:szCs w:val="24"/>
        </w:rPr>
        <w:t>behaviour</w:t>
      </w:r>
      <w:proofErr w:type="spellEnd"/>
      <w:r w:rsidRPr="00C058B7">
        <w:rPr>
          <w:rFonts w:ascii="Times New Roman" w:eastAsia="Times New Roman" w:hAnsi="Times New Roman"/>
          <w:sz w:val="24"/>
          <w:szCs w:val="24"/>
        </w:rPr>
        <w:t xml:space="preserve"> gap, and locating it changes the research question. The question is not whether workers can be taught to </w:t>
      </w:r>
      <w:proofErr w:type="spellStart"/>
      <w:r w:rsidRPr="00C058B7">
        <w:rPr>
          <w:rFonts w:ascii="Times New Roman" w:eastAsia="Times New Roman" w:hAnsi="Times New Roman"/>
          <w:sz w:val="24"/>
          <w:szCs w:val="24"/>
        </w:rPr>
        <w:t>recognise</w:t>
      </w:r>
      <w:proofErr w:type="spellEnd"/>
      <w:r w:rsidRPr="00C058B7">
        <w:rPr>
          <w:rFonts w:ascii="Times New Roman" w:eastAsia="Times New Roman" w:hAnsi="Times New Roman"/>
          <w:sz w:val="24"/>
          <w:szCs w:val="24"/>
        </w:rPr>
        <w:t xml:space="preserve"> distress — the evidence suggests they can — but what stands between </w:t>
      </w:r>
      <w:proofErr w:type="spellStart"/>
      <w:r w:rsidRPr="00C058B7">
        <w:rPr>
          <w:rFonts w:ascii="Times New Roman" w:eastAsia="Times New Roman" w:hAnsi="Times New Roman"/>
          <w:sz w:val="24"/>
          <w:szCs w:val="24"/>
        </w:rPr>
        <w:t>recognising</w:t>
      </w:r>
      <w:proofErr w:type="spellEnd"/>
      <w:r w:rsidRPr="00C058B7">
        <w:rPr>
          <w:rFonts w:ascii="Times New Roman" w:eastAsia="Times New Roman" w:hAnsi="Times New Roman"/>
          <w:sz w:val="24"/>
          <w:szCs w:val="24"/>
        </w:rPr>
        <w:t xml:space="preserve"> it and acting on it.</w:t>
      </w:r>
    </w:p>
    <w:p w14:paraId="2ED7B717"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This review identifies two candidates that the existing literature could not have detected, because the studies composing it were not conducted in settings where either arises. The first is that literacy may be moving without being measured, where instruments assess recognition through a vocabulary the population does not use. The second is that acting on recognition may carry costs — occupational, legal, or both — that no amount of knowledge offsets. Neither displaces the intention–</w:t>
      </w:r>
      <w:proofErr w:type="spellStart"/>
      <w:r w:rsidRPr="00C058B7">
        <w:rPr>
          <w:rFonts w:ascii="Times New Roman" w:eastAsia="Times New Roman" w:hAnsi="Times New Roman"/>
          <w:sz w:val="24"/>
          <w:szCs w:val="24"/>
        </w:rPr>
        <w:t>behaviour</w:t>
      </w:r>
      <w:proofErr w:type="spellEnd"/>
      <w:r w:rsidRPr="00C058B7">
        <w:rPr>
          <w:rFonts w:ascii="Times New Roman" w:eastAsia="Times New Roman" w:hAnsi="Times New Roman"/>
          <w:sz w:val="24"/>
          <w:szCs w:val="24"/>
        </w:rPr>
        <w:t xml:space="preserve"> gap as an explanation; both are additions to the list of things that might constitute it in this setting.</w:t>
      </w:r>
    </w:p>
    <w:p w14:paraId="2497B8F6"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It is worth noting that the WHO evidence is not uniformly negative across intervention classes. Manager training for mental health carries a strong recommendation on moderate-certainty evidence, with beneficial effects on managers' knowledge, attitudes and supporting </w:t>
      </w:r>
      <w:proofErr w:type="spellStart"/>
      <w:r w:rsidRPr="00C058B7">
        <w:rPr>
          <w:rFonts w:ascii="Times New Roman" w:eastAsia="Times New Roman" w:hAnsi="Times New Roman"/>
          <w:sz w:val="24"/>
          <w:szCs w:val="24"/>
        </w:rPr>
        <w:t>behaviours</w:t>
      </w:r>
      <w:proofErr w:type="spellEnd"/>
      <w:r w:rsidRPr="00C058B7">
        <w:rPr>
          <w:rFonts w:ascii="Times New Roman" w:eastAsia="Times New Roman" w:hAnsi="Times New Roman"/>
          <w:sz w:val="24"/>
          <w:szCs w:val="24"/>
        </w:rPr>
        <w:t xml:space="preserve">, and low-certainty evidence from one study suggesting substantial benefit for workers' subsequent help-seeking </w:t>
      </w:r>
      <w:proofErr w:type="spellStart"/>
      <w:r w:rsidRPr="00C058B7">
        <w:rPr>
          <w:rFonts w:ascii="Times New Roman" w:eastAsia="Times New Roman" w:hAnsi="Times New Roman"/>
          <w:sz w:val="24"/>
          <w:szCs w:val="24"/>
        </w:rPr>
        <w:t>behaviour</w:t>
      </w:r>
      <w:proofErr w:type="spellEnd"/>
      <w:r w:rsidRPr="00C058B7">
        <w:rPr>
          <w:rFonts w:ascii="Times New Roman" w:eastAsia="Times New Roman" w:hAnsi="Times New Roman"/>
          <w:sz w:val="24"/>
          <w:szCs w:val="24"/>
        </w:rPr>
        <w:t xml:space="preserve"> (World Health Organization, 2022). Where worker-directed literacy training has the weaker record, the supervisory tier has the stronger one — a distinction with obvious implications for a crew-based industry.</w:t>
      </w:r>
    </w:p>
    <w:p w14:paraId="6B9F7368"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4"/>
          <w:szCs w:val="24"/>
        </w:rPr>
        <w:t>An independent convergence</w:t>
      </w:r>
    </w:p>
    <w:p w14:paraId="5F1B45E7"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The most closely related recent review, examining precisely the intervention class at issue in precisely the industry category at issue, concludes with a recommendation that future research employ validated and reliable outcome measures (Roche et al., 2024). That recommendation is the argument of the present review, reached from a different direction and without reference to Zimbabwe. Where a general methodological weakness meets a setting in which the specific conditions for valid measurement are demonstrably absent, the case for addressing measurement before intervention is considerably strengthened.</w:t>
      </w:r>
    </w:p>
    <w:p w14:paraId="3455A921"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4"/>
          <w:szCs w:val="24"/>
        </w:rPr>
        <w:t>A sequenced agenda</w:t>
      </w:r>
    </w:p>
    <w:p w14:paraId="55461447"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The following is proposed as a </w:t>
      </w:r>
      <w:proofErr w:type="spellStart"/>
      <w:r w:rsidRPr="00C058B7">
        <w:rPr>
          <w:rFonts w:ascii="Times New Roman" w:eastAsia="Times New Roman" w:hAnsi="Times New Roman"/>
          <w:sz w:val="24"/>
          <w:szCs w:val="24"/>
        </w:rPr>
        <w:t>programme</w:t>
      </w:r>
      <w:proofErr w:type="spellEnd"/>
      <w:r w:rsidRPr="00C058B7">
        <w:rPr>
          <w:rFonts w:ascii="Times New Roman" w:eastAsia="Times New Roman" w:hAnsi="Times New Roman"/>
          <w:sz w:val="24"/>
          <w:szCs w:val="24"/>
        </w:rPr>
        <w:t xml:space="preserve"> rather than a study, with each phase conditional on the last. Phase 1 comprises the two steps common to both routes, which answer the prior question. Phase 2 comprises the six steps of instrument work, applied to whichever item pool Phase 1 indicates. Phases 3 and 4 are measurement and intervention.</w:t>
      </w:r>
    </w:p>
    <w:p w14:paraId="7C84D7F5"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i/>
          <w:iCs/>
          <w:sz w:val="24"/>
          <w:szCs w:val="24"/>
        </w:rPr>
        <w:lastRenderedPageBreak/>
        <w:t>Phase 1: Establishing the construct in this workforce</w:t>
      </w:r>
    </w:p>
    <w:p w14:paraId="0F5DCEFD"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Step 1, qualitative elicitation. Ethnographic and qualitative work with the target workforce, following the procedure by which the Shona Symptom Questionnaire was developed (Patel et al., 1997), and addressing three questions: how workers in this sector articulate psychological distress and in what terms; what the perceived consequences of disclosure are, to peers, to supervisors and to employers; and what help-offering currently looks like in practice within crews. Sampling should span occupational groups — field, plant, substation and control-room work differ in exposure and in isolation — grades, and the language communities present in the workforce. This phase is small and inexpensive relative to what follows.</w:t>
      </w:r>
    </w:p>
    <w:p w14:paraId="1CDA727D"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Step 2, cognitive interviewing. This step is absent from most adaptation work in this literature and it does two things that no other step does. It establishes whether candidate items are understood as intended, which is the comprehensibility aspect of content validity and cannot be assessed by experts on respondents’ behalf. And it generates content that an expert panel will not supply: in the most closely comparable recent exercise, cognitive debriefing interviews with patients produced an entire additional attribute concerning myths about mental disorder, which the professional panels had not proposed (</w:t>
      </w:r>
      <w:proofErr w:type="spellStart"/>
      <w:r w:rsidRPr="00C058B7">
        <w:rPr>
          <w:rFonts w:ascii="Times New Roman" w:eastAsia="Times New Roman" w:hAnsi="Times New Roman"/>
          <w:sz w:val="24"/>
          <w:szCs w:val="24"/>
        </w:rPr>
        <w:t>ElKhalil</w:t>
      </w:r>
      <w:proofErr w:type="spellEnd"/>
      <w:r w:rsidRPr="00C058B7">
        <w:rPr>
          <w:rFonts w:ascii="Times New Roman" w:eastAsia="Times New Roman" w:hAnsi="Times New Roman"/>
          <w:sz w:val="24"/>
          <w:szCs w:val="24"/>
        </w:rPr>
        <w:t xml:space="preserve"> et al., 2025). Method is think-aloud and verbal probing with workers rather than experts, conducted in the respondent’s own language.</w:t>
      </w:r>
    </w:p>
    <w:p w14:paraId="0366F031"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The division of </w:t>
      </w:r>
      <w:proofErr w:type="spellStart"/>
      <w:r w:rsidRPr="00C058B7">
        <w:rPr>
          <w:rFonts w:ascii="Times New Roman" w:eastAsia="Times New Roman" w:hAnsi="Times New Roman"/>
          <w:sz w:val="24"/>
          <w:szCs w:val="24"/>
        </w:rPr>
        <w:t>labour</w:t>
      </w:r>
      <w:proofErr w:type="spellEnd"/>
      <w:r w:rsidRPr="00C058B7">
        <w:rPr>
          <w:rFonts w:ascii="Times New Roman" w:eastAsia="Times New Roman" w:hAnsi="Times New Roman"/>
          <w:sz w:val="24"/>
          <w:szCs w:val="24"/>
        </w:rPr>
        <w:t xml:space="preserve"> between this step and step 4 matters, and it follows directly from what the regional content validation showed. There, frontline raters were asked to judge the relevance of items to a construct in which they had no training, and the record indicates that they answered the items instead of rating them. The remedy is not to exclude frontline participants but to ask each group the question it is positioned to answer. Workers are the authority on what an item means and whether it is answerable; specialists are the authority on whether an item bears on the construct. At the close of Phase 1 the decision between adaptation and development is taken on evidence: whether the divergence between the workforce’s conceptual vocabulary and the instrument’s is large enough to warrant building rather than adapting.</w:t>
      </w:r>
    </w:p>
    <w:p w14:paraId="1F1945EB"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i/>
          <w:iCs/>
          <w:sz w:val="24"/>
          <w:szCs w:val="24"/>
        </w:rPr>
        <w:t>Phase 2: Instrument construction and validation</w:t>
      </w:r>
    </w:p>
    <w:p w14:paraId="279C121A"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Step 3, item generation. Items are drafted from the elicitation corpus and, under the adaptation route, from the existing item set. The pool should be deliberately larger than the intended instrument, as the 56-item preliminary pool of the Shona Symptom Questionnaire was, because reduction is an empirical operation and cannot be performed on a pool assembled to final length. Two rules follow from the analysis above. Any item anchoring a factual claim to a context that does not obtain locally requires substantive rewriting rather than translation. And recognition items should not be scored solely through the production of disorder-specific labels, given that the prevailing local concept is reported as not specifically related either to depression or to anxiety (Patel et al., 1995).</w:t>
      </w:r>
    </w:p>
    <w:p w14:paraId="296F3F19"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Step 4, expert review. A heterogeneous expert panel rates the pool, with four departures from the regional precedent. Relevance, comprehensiveness and clarity are rated as separate judgements rather than as a single relevance score. Thresholds and a chance-corrected agreement statistic are stated in advance. The panel includes occupational health practitioners from the sector alongside mental health specialists, and is not drawn from the research team conducting the study. And a re-study phase follows revision, so that the ratings that matter are those of the revised items; the absence of such a phase is a limitation the regional precedent states of itself.</w:t>
      </w:r>
    </w:p>
    <w:p w14:paraId="2BD458C8"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Step 5, pilot testing. Administration under field conditions — at depots, substations and control rooms, on shift patterns that include standby and night work — rather than in a clinic or a training room. This step establishes completion rates, missing-data patterns and the workable administration mode, and it tests the question Phase 1 raises about whether anonymity is achievable. That question is not procedural. Where disclosure carries occupational consequence, an instrument administered in a workplace measures willingness to answer at least as much as knowledge, and a pilot that does not test this will not detect it.</w:t>
      </w:r>
    </w:p>
    <w:p w14:paraId="0C5EBB10"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Step 6, factor analysis. Structural validity is examined in this population rather than assumed from the original validation, with exploratory and confirmatory analyses conducted on independent samples rather than on the </w:t>
      </w:r>
      <w:r w:rsidRPr="00C058B7">
        <w:rPr>
          <w:rFonts w:ascii="Times New Roman" w:eastAsia="Times New Roman" w:hAnsi="Times New Roman"/>
          <w:sz w:val="24"/>
          <w:szCs w:val="24"/>
        </w:rPr>
        <w:lastRenderedPageBreak/>
        <w:t>same data. Measurement invariance is tested with language as the grouping variable, and across occupational groups where the sample permits. The prior here should be explicit: the instrument’s structure has not replicated where it has been examined in this region, and a study that expects replication and reports whatever emerges will add a fourth structure to the literature without advancing it. The analysis plan should state in advance what will be done if the structure does not hold.</w:t>
      </w:r>
    </w:p>
    <w:p w14:paraId="293B1674"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Step 7, reliability assessment. Internal consistency is computed for each attribute and not only for the whole scale. This is not a formality: the regional psychometric evaluation reported a whole-scale alpha of 0.804 while three attributes fell below the acceptable level (Korhonen, </w:t>
      </w:r>
      <w:proofErr w:type="spellStart"/>
      <w:r w:rsidRPr="00C058B7">
        <w:rPr>
          <w:rFonts w:ascii="Times New Roman" w:eastAsia="Times New Roman" w:hAnsi="Times New Roman"/>
          <w:sz w:val="24"/>
          <w:szCs w:val="24"/>
        </w:rPr>
        <w:t>Axelin</w:t>
      </w:r>
      <w:proofErr w:type="spellEnd"/>
      <w:r w:rsidRPr="00C058B7">
        <w:rPr>
          <w:rFonts w:ascii="Times New Roman" w:eastAsia="Times New Roman" w:hAnsi="Times New Roman"/>
          <w:sz w:val="24"/>
          <w:szCs w:val="24"/>
        </w:rPr>
        <w:t xml:space="preserve">, Katajisto, &amp; Lahti, 2022), and a subsequent application omitted three knowledge attributes from analysis for the same reason (Korhonen, </w:t>
      </w:r>
      <w:proofErr w:type="spellStart"/>
      <w:r w:rsidRPr="00C058B7">
        <w:rPr>
          <w:rFonts w:ascii="Times New Roman" w:eastAsia="Times New Roman" w:hAnsi="Times New Roman"/>
          <w:sz w:val="24"/>
          <w:szCs w:val="24"/>
        </w:rPr>
        <w:t>Axelin</w:t>
      </w:r>
      <w:proofErr w:type="spellEnd"/>
      <w:r w:rsidRPr="00C058B7">
        <w:rPr>
          <w:rFonts w:ascii="Times New Roman" w:eastAsia="Times New Roman" w:hAnsi="Times New Roman"/>
          <w:sz w:val="24"/>
          <w:szCs w:val="24"/>
        </w:rPr>
        <w:t>, Stein, et al., 2022). A satisfactory whole-scale value can coexist with attributes that do not cohere, and a literacy instrument whose knowledge attributes are the unreliable ones is not measuring what its name claims. Test–retest reliability over a stated interval, reported as an intraclass correlation, and measurement error should both be reported — the latter having been assessed in only one of the sixteen validation studies reviewed (</w:t>
      </w:r>
      <w:proofErr w:type="spellStart"/>
      <w:r w:rsidRPr="00C058B7">
        <w:rPr>
          <w:rFonts w:ascii="Times New Roman" w:eastAsia="Times New Roman" w:hAnsi="Times New Roman"/>
          <w:sz w:val="24"/>
          <w:szCs w:val="24"/>
        </w:rPr>
        <w:t>ElKhalil</w:t>
      </w:r>
      <w:proofErr w:type="spellEnd"/>
      <w:r w:rsidRPr="00C058B7">
        <w:rPr>
          <w:rFonts w:ascii="Times New Roman" w:eastAsia="Times New Roman" w:hAnsi="Times New Roman"/>
          <w:sz w:val="24"/>
          <w:szCs w:val="24"/>
        </w:rPr>
        <w:t xml:space="preserve"> et al., 2024).</w:t>
      </w:r>
    </w:p>
    <w:p w14:paraId="5AD9181C"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Step 8, validation against outcomes. This step cannot take the form the Shona Symptom Questionnaire’s did. That instrument was reduced against a criterion because a criterion for </w:t>
      </w:r>
      <w:proofErr w:type="spellStart"/>
      <w:r w:rsidRPr="00C058B7">
        <w:rPr>
          <w:rFonts w:ascii="Times New Roman" w:eastAsia="Times New Roman" w:hAnsi="Times New Roman"/>
          <w:sz w:val="24"/>
          <w:szCs w:val="24"/>
        </w:rPr>
        <w:t>caseness</w:t>
      </w:r>
      <w:proofErr w:type="spellEnd"/>
      <w:r w:rsidRPr="00C058B7">
        <w:rPr>
          <w:rFonts w:ascii="Times New Roman" w:eastAsia="Times New Roman" w:hAnsi="Times New Roman"/>
          <w:sz w:val="24"/>
          <w:szCs w:val="24"/>
        </w:rPr>
        <w:t xml:space="preserve"> existed (Patel et al., 1997). Mental health literacy has no gold standard, so validation proceeds by hypotheses testing, and the hypotheses must be specified in advance with their direction and expected magnitude. Four are defensible on present evidence. Workers with prior mental health training should score higher than those without, an effect of moderate size having been observed in the one Zimbabwean occupational application (</w:t>
      </w:r>
      <w:proofErr w:type="spellStart"/>
      <w:r w:rsidRPr="00C058B7">
        <w:rPr>
          <w:rFonts w:ascii="Times New Roman" w:eastAsia="Times New Roman" w:hAnsi="Times New Roman"/>
          <w:sz w:val="24"/>
          <w:szCs w:val="24"/>
        </w:rPr>
        <w:t>Chiobvu</w:t>
      </w:r>
      <w:proofErr w:type="spellEnd"/>
      <w:r w:rsidRPr="00C058B7">
        <w:rPr>
          <w:rFonts w:ascii="Times New Roman" w:eastAsia="Times New Roman" w:hAnsi="Times New Roman"/>
          <w:sz w:val="24"/>
          <w:szCs w:val="24"/>
        </w:rPr>
        <w:t xml:space="preserve"> et al., 2025). Scores should be inversely associated with a measure of stigma, as they were in the same study. Scores should be only weakly associated with symptom burden as measured by the Shona Symptom Questionnaire, since knowledge about disorder is not the same as having one, and a strong association would indicate that the instrument is measuring distress rather than literacy. And scores should be associated with help-seeking intention, with the caveat that intention and </w:t>
      </w:r>
      <w:proofErr w:type="spellStart"/>
      <w:r w:rsidRPr="00C058B7">
        <w:rPr>
          <w:rFonts w:ascii="Times New Roman" w:eastAsia="Times New Roman" w:hAnsi="Times New Roman"/>
          <w:sz w:val="24"/>
          <w:szCs w:val="24"/>
        </w:rPr>
        <w:t>behaviour</w:t>
      </w:r>
      <w:proofErr w:type="spellEnd"/>
      <w:r w:rsidRPr="00C058B7">
        <w:rPr>
          <w:rFonts w:ascii="Times New Roman" w:eastAsia="Times New Roman" w:hAnsi="Times New Roman"/>
          <w:sz w:val="24"/>
          <w:szCs w:val="24"/>
        </w:rPr>
        <w:t xml:space="preserve"> diverge in this literature and that the conditions of disclosure established at step 1 will bear on both. Hypotheses formulated after the analysis should be reported as such.</w:t>
      </w:r>
    </w:p>
    <w:p w14:paraId="557EDE4F"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4"/>
          <w:szCs w:val="24"/>
        </w:rPr>
        <w:t>Table 4. Proposed instrument development and validation sequence</w:t>
      </w:r>
    </w:p>
    <w:tbl>
      <w:tblPr>
        <w:tblW w:w="939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8"/>
        <w:gridCol w:w="1997"/>
        <w:gridCol w:w="3170"/>
        <w:gridCol w:w="2078"/>
        <w:gridCol w:w="2143"/>
      </w:tblGrid>
      <w:tr w:rsidR="00C058B7" w:rsidRPr="00C058B7" w14:paraId="7F7912C0" w14:textId="77777777" w:rsidTr="00C058B7">
        <w:trPr>
          <w:trHeight w:val="330"/>
        </w:trPr>
        <w:tc>
          <w:tcPr>
            <w:tcW w:w="524" w:type="dxa"/>
            <w:shd w:val="clear" w:color="000000" w:fill="E8E8E8"/>
            <w:noWrap/>
            <w:hideMark/>
          </w:tcPr>
          <w:p w14:paraId="7F236B5D" w14:textId="77777777" w:rsidR="00C058B7" w:rsidRPr="00C058B7" w:rsidRDefault="00C058B7" w:rsidP="00C058B7">
            <w:pPr>
              <w:spacing w:after="0" w:line="240" w:lineRule="auto"/>
              <w:rPr>
                <w:rFonts w:ascii="Times New Roman" w:eastAsia="Times New Roman" w:hAnsi="Times New Roman"/>
                <w:b/>
                <w:bCs/>
                <w:color w:val="000000"/>
                <w:sz w:val="24"/>
                <w:szCs w:val="24"/>
              </w:rPr>
            </w:pPr>
            <w:r w:rsidRPr="00C058B7">
              <w:rPr>
                <w:rFonts w:ascii="Times New Roman" w:eastAsia="Times New Roman" w:hAnsi="Times New Roman"/>
                <w:b/>
                <w:bCs/>
                <w:color w:val="000000"/>
                <w:sz w:val="24"/>
                <w:szCs w:val="24"/>
              </w:rPr>
              <w:t>Step</w:t>
            </w:r>
          </w:p>
        </w:tc>
        <w:tc>
          <w:tcPr>
            <w:tcW w:w="2002" w:type="dxa"/>
            <w:shd w:val="clear" w:color="000000" w:fill="E8E8E8"/>
            <w:noWrap/>
            <w:hideMark/>
          </w:tcPr>
          <w:p w14:paraId="0CDAD9DB" w14:textId="77777777" w:rsidR="00C058B7" w:rsidRPr="00C058B7" w:rsidRDefault="00C058B7" w:rsidP="00C058B7">
            <w:pPr>
              <w:spacing w:after="0" w:line="240" w:lineRule="auto"/>
              <w:rPr>
                <w:rFonts w:ascii="Times New Roman" w:eastAsia="Times New Roman" w:hAnsi="Times New Roman"/>
                <w:b/>
                <w:bCs/>
                <w:color w:val="000000"/>
                <w:sz w:val="24"/>
                <w:szCs w:val="24"/>
              </w:rPr>
            </w:pPr>
            <w:r w:rsidRPr="00C058B7">
              <w:rPr>
                <w:rFonts w:ascii="Times New Roman" w:eastAsia="Times New Roman" w:hAnsi="Times New Roman"/>
                <w:b/>
                <w:bCs/>
                <w:color w:val="000000"/>
                <w:sz w:val="24"/>
                <w:szCs w:val="24"/>
              </w:rPr>
              <w:t>Question it answers</w:t>
            </w:r>
          </w:p>
        </w:tc>
        <w:tc>
          <w:tcPr>
            <w:tcW w:w="3178" w:type="dxa"/>
            <w:shd w:val="clear" w:color="000000" w:fill="E8E8E8"/>
            <w:noWrap/>
            <w:hideMark/>
          </w:tcPr>
          <w:p w14:paraId="42E45ED4" w14:textId="77777777" w:rsidR="00C058B7" w:rsidRPr="00C058B7" w:rsidRDefault="00C058B7" w:rsidP="00C058B7">
            <w:pPr>
              <w:spacing w:after="0" w:line="240" w:lineRule="auto"/>
              <w:rPr>
                <w:rFonts w:ascii="Times New Roman" w:eastAsia="Times New Roman" w:hAnsi="Times New Roman"/>
                <w:b/>
                <w:bCs/>
                <w:color w:val="000000"/>
                <w:sz w:val="24"/>
                <w:szCs w:val="24"/>
              </w:rPr>
            </w:pPr>
            <w:r w:rsidRPr="00C058B7">
              <w:rPr>
                <w:rFonts w:ascii="Times New Roman" w:eastAsia="Times New Roman" w:hAnsi="Times New Roman"/>
                <w:b/>
                <w:bCs/>
                <w:color w:val="000000"/>
                <w:sz w:val="24"/>
                <w:szCs w:val="24"/>
              </w:rPr>
              <w:t>Method</w:t>
            </w:r>
          </w:p>
        </w:tc>
        <w:tc>
          <w:tcPr>
            <w:tcW w:w="1538" w:type="dxa"/>
            <w:shd w:val="clear" w:color="000000" w:fill="E8E8E8"/>
            <w:noWrap/>
            <w:hideMark/>
          </w:tcPr>
          <w:p w14:paraId="4E16D4AA" w14:textId="77777777" w:rsidR="00C058B7" w:rsidRPr="00C058B7" w:rsidRDefault="00C058B7" w:rsidP="00C058B7">
            <w:pPr>
              <w:spacing w:after="0" w:line="240" w:lineRule="auto"/>
              <w:rPr>
                <w:rFonts w:ascii="Times New Roman" w:eastAsia="Times New Roman" w:hAnsi="Times New Roman"/>
                <w:b/>
                <w:bCs/>
                <w:color w:val="000000"/>
                <w:sz w:val="24"/>
                <w:szCs w:val="24"/>
              </w:rPr>
            </w:pPr>
            <w:r w:rsidRPr="00C058B7">
              <w:rPr>
                <w:rFonts w:ascii="Times New Roman" w:eastAsia="Times New Roman" w:hAnsi="Times New Roman"/>
                <w:b/>
                <w:bCs/>
                <w:color w:val="000000"/>
                <w:sz w:val="24"/>
                <w:szCs w:val="24"/>
              </w:rPr>
              <w:t>Property addressed</w:t>
            </w:r>
          </w:p>
        </w:tc>
        <w:tc>
          <w:tcPr>
            <w:tcW w:w="2148" w:type="dxa"/>
            <w:shd w:val="clear" w:color="000000" w:fill="E8E8E8"/>
            <w:noWrap/>
            <w:hideMark/>
          </w:tcPr>
          <w:p w14:paraId="5CE95BF1" w14:textId="77777777" w:rsidR="00C058B7" w:rsidRPr="00C058B7" w:rsidRDefault="00C058B7" w:rsidP="00C058B7">
            <w:pPr>
              <w:spacing w:after="0" w:line="240" w:lineRule="auto"/>
              <w:rPr>
                <w:rFonts w:ascii="Times New Roman" w:eastAsia="Times New Roman" w:hAnsi="Times New Roman"/>
                <w:b/>
                <w:bCs/>
                <w:color w:val="000000"/>
                <w:sz w:val="24"/>
                <w:szCs w:val="24"/>
              </w:rPr>
            </w:pPr>
            <w:r w:rsidRPr="00C058B7">
              <w:rPr>
                <w:rFonts w:ascii="Times New Roman" w:eastAsia="Times New Roman" w:hAnsi="Times New Roman"/>
                <w:b/>
                <w:bCs/>
                <w:color w:val="000000"/>
                <w:sz w:val="24"/>
                <w:szCs w:val="24"/>
              </w:rPr>
              <w:t>Decision gate</w:t>
            </w:r>
          </w:p>
        </w:tc>
      </w:tr>
      <w:tr w:rsidR="00C058B7" w:rsidRPr="00C058B7" w14:paraId="50CD78CF" w14:textId="77777777" w:rsidTr="00C058B7">
        <w:trPr>
          <w:trHeight w:val="330"/>
        </w:trPr>
        <w:tc>
          <w:tcPr>
            <w:tcW w:w="524" w:type="dxa"/>
            <w:noWrap/>
            <w:hideMark/>
          </w:tcPr>
          <w:p w14:paraId="62D146A9"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1. Qualitative elicitation</w:t>
            </w:r>
          </w:p>
        </w:tc>
        <w:tc>
          <w:tcPr>
            <w:tcW w:w="2002" w:type="dxa"/>
            <w:noWrap/>
            <w:hideMark/>
          </w:tcPr>
          <w:p w14:paraId="1190A56D"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In what terms does this workforce articulate psychological distress, and what are the perceived consequences of disclosure?</w:t>
            </w:r>
          </w:p>
        </w:tc>
        <w:tc>
          <w:tcPr>
            <w:tcW w:w="3178" w:type="dxa"/>
            <w:noWrap/>
            <w:hideMark/>
          </w:tcPr>
          <w:p w14:paraId="75270CE1"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Ethnographic and qualitative work with workers across occupational groups, grades and language communities, following the procedure by which the Shona Symptom Questionnaire was developed</w:t>
            </w:r>
          </w:p>
        </w:tc>
        <w:tc>
          <w:tcPr>
            <w:tcW w:w="1538" w:type="dxa"/>
            <w:noWrap/>
            <w:hideMark/>
          </w:tcPr>
          <w:p w14:paraId="7625FC1C"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Precondition for content validity; establishes administration constraints</w:t>
            </w:r>
          </w:p>
        </w:tc>
        <w:tc>
          <w:tcPr>
            <w:tcW w:w="2148" w:type="dxa"/>
            <w:noWrap/>
            <w:hideMark/>
          </w:tcPr>
          <w:p w14:paraId="2A45BF6D"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Whether the divergence between local and instrument constructs is large enough to warrant emic development rather than adaptation</w:t>
            </w:r>
          </w:p>
        </w:tc>
      </w:tr>
      <w:tr w:rsidR="00C058B7" w:rsidRPr="00C058B7" w14:paraId="00A4F0A4" w14:textId="77777777" w:rsidTr="00C058B7">
        <w:trPr>
          <w:trHeight w:val="330"/>
        </w:trPr>
        <w:tc>
          <w:tcPr>
            <w:tcW w:w="524" w:type="dxa"/>
            <w:noWrap/>
            <w:hideMark/>
          </w:tcPr>
          <w:p w14:paraId="75A09096"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2. Cognitive interviewing</w:t>
            </w:r>
          </w:p>
        </w:tc>
        <w:tc>
          <w:tcPr>
            <w:tcW w:w="2002" w:type="dxa"/>
            <w:noWrap/>
            <w:hideMark/>
          </w:tcPr>
          <w:p w14:paraId="2BD7C035"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What do candidate items mean to the people who will answer them?</w:t>
            </w:r>
          </w:p>
        </w:tc>
        <w:tc>
          <w:tcPr>
            <w:tcW w:w="3178" w:type="dxa"/>
            <w:noWrap/>
            <w:hideMark/>
          </w:tcPr>
          <w:p w14:paraId="0EF57285"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Think-aloud and verbal probing with workers, not experts, in the respondent’s language</w:t>
            </w:r>
          </w:p>
        </w:tc>
        <w:tc>
          <w:tcPr>
            <w:tcW w:w="1538" w:type="dxa"/>
            <w:noWrap/>
            <w:hideMark/>
          </w:tcPr>
          <w:p w14:paraId="793713CE"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Content validity: comprehensibility, and item generation</w:t>
            </w:r>
          </w:p>
        </w:tc>
        <w:tc>
          <w:tcPr>
            <w:tcW w:w="2148" w:type="dxa"/>
            <w:noWrap/>
            <w:hideMark/>
          </w:tcPr>
          <w:p w14:paraId="50FFCE94"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Whether any item is understood as intended; items that are not are revised or dropped before rating</w:t>
            </w:r>
          </w:p>
        </w:tc>
      </w:tr>
      <w:tr w:rsidR="00C058B7" w:rsidRPr="00C058B7" w14:paraId="6CB432A3" w14:textId="77777777" w:rsidTr="00C058B7">
        <w:trPr>
          <w:trHeight w:val="330"/>
        </w:trPr>
        <w:tc>
          <w:tcPr>
            <w:tcW w:w="524" w:type="dxa"/>
            <w:noWrap/>
            <w:hideMark/>
          </w:tcPr>
          <w:p w14:paraId="52B07421"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3. Item generation</w:t>
            </w:r>
          </w:p>
        </w:tc>
        <w:tc>
          <w:tcPr>
            <w:tcW w:w="2002" w:type="dxa"/>
            <w:noWrap/>
            <w:hideMark/>
          </w:tcPr>
          <w:p w14:paraId="56640ACD"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What is the candidate item pool?</w:t>
            </w:r>
          </w:p>
        </w:tc>
        <w:tc>
          <w:tcPr>
            <w:tcW w:w="3178" w:type="dxa"/>
            <w:noWrap/>
            <w:hideMark/>
          </w:tcPr>
          <w:p w14:paraId="56FF4698"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Items drafted from the elicitation corpus and, under the adaptation route, from the existing item set; deliberately over-inclusive</w:t>
            </w:r>
          </w:p>
        </w:tc>
        <w:tc>
          <w:tcPr>
            <w:tcW w:w="1538" w:type="dxa"/>
            <w:noWrap/>
            <w:hideMark/>
          </w:tcPr>
          <w:p w14:paraId="1A44132E"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Content validity: comprehensiveness</w:t>
            </w:r>
          </w:p>
        </w:tc>
        <w:tc>
          <w:tcPr>
            <w:tcW w:w="2148" w:type="dxa"/>
            <w:noWrap/>
            <w:hideMark/>
          </w:tcPr>
          <w:p w14:paraId="40A09D02"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 xml:space="preserve">Whether the pool covers every attribute the elicitation identified, </w:t>
            </w:r>
            <w:r w:rsidRPr="00C058B7">
              <w:rPr>
                <w:rFonts w:ascii="Times New Roman" w:eastAsia="Times New Roman" w:hAnsi="Times New Roman"/>
                <w:color w:val="000000"/>
                <w:sz w:val="24"/>
                <w:szCs w:val="24"/>
              </w:rPr>
              <w:lastRenderedPageBreak/>
              <w:t>including any the existing instrument lacks</w:t>
            </w:r>
          </w:p>
        </w:tc>
      </w:tr>
      <w:tr w:rsidR="00C058B7" w:rsidRPr="00C058B7" w14:paraId="2F5A1B1C" w14:textId="77777777" w:rsidTr="00C058B7">
        <w:trPr>
          <w:trHeight w:val="330"/>
        </w:trPr>
        <w:tc>
          <w:tcPr>
            <w:tcW w:w="524" w:type="dxa"/>
            <w:noWrap/>
            <w:hideMark/>
          </w:tcPr>
          <w:p w14:paraId="58077A0B"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lastRenderedPageBreak/>
              <w:t>4. Expert review</w:t>
            </w:r>
          </w:p>
        </w:tc>
        <w:tc>
          <w:tcPr>
            <w:tcW w:w="2002" w:type="dxa"/>
            <w:noWrap/>
            <w:hideMark/>
          </w:tcPr>
          <w:p w14:paraId="31E1E851"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Are these items relevant to the construct for this population?</w:t>
            </w:r>
          </w:p>
        </w:tc>
        <w:tc>
          <w:tcPr>
            <w:tcW w:w="3178" w:type="dxa"/>
            <w:noWrap/>
            <w:hideMark/>
          </w:tcPr>
          <w:p w14:paraId="429A299E"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Heterogeneous expert panel rating relevance, comprehensiveness and clarity separately, with thresholds and a chance-corrected statistic stated in advance, and a re-study phase after revision</w:t>
            </w:r>
          </w:p>
        </w:tc>
        <w:tc>
          <w:tcPr>
            <w:tcW w:w="1538" w:type="dxa"/>
            <w:noWrap/>
            <w:hideMark/>
          </w:tcPr>
          <w:p w14:paraId="2F3B6319"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Content validity: relevance</w:t>
            </w:r>
          </w:p>
        </w:tc>
        <w:tc>
          <w:tcPr>
            <w:tcW w:w="2148" w:type="dxa"/>
            <w:noWrap/>
            <w:hideMark/>
          </w:tcPr>
          <w:p w14:paraId="1455819D"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Whether items meet the pre-stated thresholds after revision; the re-study phase is the gate, not the first rating</w:t>
            </w:r>
          </w:p>
        </w:tc>
      </w:tr>
      <w:tr w:rsidR="00C058B7" w:rsidRPr="00C058B7" w14:paraId="2DACCB74" w14:textId="77777777" w:rsidTr="00C058B7">
        <w:trPr>
          <w:trHeight w:val="330"/>
        </w:trPr>
        <w:tc>
          <w:tcPr>
            <w:tcW w:w="524" w:type="dxa"/>
            <w:noWrap/>
            <w:hideMark/>
          </w:tcPr>
          <w:p w14:paraId="2ECEC80E"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5. Pilot testing</w:t>
            </w:r>
          </w:p>
        </w:tc>
        <w:tc>
          <w:tcPr>
            <w:tcW w:w="2002" w:type="dxa"/>
            <w:noWrap/>
            <w:hideMark/>
          </w:tcPr>
          <w:p w14:paraId="4DDD947B"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Does the instrument work in field conditions, and is anonymity achievable?</w:t>
            </w:r>
          </w:p>
        </w:tc>
        <w:tc>
          <w:tcPr>
            <w:tcW w:w="3178" w:type="dxa"/>
            <w:noWrap/>
            <w:hideMark/>
          </w:tcPr>
          <w:p w14:paraId="489612E4"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Administration at depots, substations and control rooms rather than in a clinic, under the disclosure conditions established at step 1</w:t>
            </w:r>
          </w:p>
        </w:tc>
        <w:tc>
          <w:tcPr>
            <w:tcW w:w="1538" w:type="dxa"/>
            <w:noWrap/>
            <w:hideMark/>
          </w:tcPr>
          <w:p w14:paraId="405F975C"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Feasibility; interpretability of what the scores will mean</w:t>
            </w:r>
          </w:p>
        </w:tc>
        <w:tc>
          <w:tcPr>
            <w:tcW w:w="2148" w:type="dxa"/>
            <w:noWrap/>
            <w:hideMark/>
          </w:tcPr>
          <w:p w14:paraId="2E3E78CB"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Whether administration can be conducted in a form that does not make the response a measure of willingness to answer</w:t>
            </w:r>
          </w:p>
        </w:tc>
      </w:tr>
      <w:tr w:rsidR="00C058B7" w:rsidRPr="00C058B7" w14:paraId="630EE683" w14:textId="77777777" w:rsidTr="00C058B7">
        <w:trPr>
          <w:trHeight w:val="330"/>
        </w:trPr>
        <w:tc>
          <w:tcPr>
            <w:tcW w:w="524" w:type="dxa"/>
            <w:noWrap/>
            <w:hideMark/>
          </w:tcPr>
          <w:p w14:paraId="5905F476"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6. Factor analysis</w:t>
            </w:r>
          </w:p>
        </w:tc>
        <w:tc>
          <w:tcPr>
            <w:tcW w:w="2002" w:type="dxa"/>
            <w:noWrap/>
            <w:hideMark/>
          </w:tcPr>
          <w:p w14:paraId="54802C1B"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Does the score reflect the dimensionality of the construct here, and do items behave equivalently across language groups?</w:t>
            </w:r>
          </w:p>
        </w:tc>
        <w:tc>
          <w:tcPr>
            <w:tcW w:w="3178" w:type="dxa"/>
            <w:noWrap/>
            <w:hideMark/>
          </w:tcPr>
          <w:p w14:paraId="5428EE76"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Exploratory and confirmatory analysis on independent samples; measurement invariance tested with language as the grouping variable, and across occupational groups if the sample permits</w:t>
            </w:r>
          </w:p>
        </w:tc>
        <w:tc>
          <w:tcPr>
            <w:tcW w:w="1538" w:type="dxa"/>
            <w:noWrap/>
            <w:hideMark/>
          </w:tcPr>
          <w:p w14:paraId="4150F8DD"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Structural validity; cross-cultural validity or measurement invariance</w:t>
            </w:r>
          </w:p>
        </w:tc>
        <w:tc>
          <w:tcPr>
            <w:tcW w:w="2148" w:type="dxa"/>
            <w:noWrap/>
            <w:hideMark/>
          </w:tcPr>
          <w:p w14:paraId="5A680183"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A stated analysis plan for the case where the structure does not replicate, agreed before the data are seen</w:t>
            </w:r>
          </w:p>
        </w:tc>
      </w:tr>
      <w:tr w:rsidR="00C058B7" w:rsidRPr="00C058B7" w14:paraId="6482A82C" w14:textId="77777777" w:rsidTr="00C058B7">
        <w:trPr>
          <w:trHeight w:val="330"/>
        </w:trPr>
        <w:tc>
          <w:tcPr>
            <w:tcW w:w="524" w:type="dxa"/>
            <w:noWrap/>
            <w:hideMark/>
          </w:tcPr>
          <w:p w14:paraId="4DAE2D52"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7. Reliability assessment</w:t>
            </w:r>
          </w:p>
        </w:tc>
        <w:tc>
          <w:tcPr>
            <w:tcW w:w="2002" w:type="dxa"/>
            <w:noWrap/>
            <w:hideMark/>
          </w:tcPr>
          <w:p w14:paraId="2E0D74B0"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How much of the score variance is true difference, and how large is the error?</w:t>
            </w:r>
          </w:p>
        </w:tc>
        <w:tc>
          <w:tcPr>
            <w:tcW w:w="3178" w:type="dxa"/>
            <w:noWrap/>
            <w:hideMark/>
          </w:tcPr>
          <w:p w14:paraId="55424BDE"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Internal consistency computed per attribute and not only for the whole scale; test–retest over a stated interval with intraclass correlation; measurement error reported</w:t>
            </w:r>
          </w:p>
        </w:tc>
        <w:tc>
          <w:tcPr>
            <w:tcW w:w="1538" w:type="dxa"/>
            <w:noWrap/>
            <w:hideMark/>
          </w:tcPr>
          <w:p w14:paraId="6B656BDF"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Internal consistency; reliability; measurement error</w:t>
            </w:r>
          </w:p>
        </w:tc>
        <w:tc>
          <w:tcPr>
            <w:tcW w:w="2148" w:type="dxa"/>
            <w:noWrap/>
            <w:hideMark/>
          </w:tcPr>
          <w:p w14:paraId="2CE83D41"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Whether any attribute falls below threshold; a whole-scale value does not discharge this</w:t>
            </w:r>
          </w:p>
        </w:tc>
      </w:tr>
      <w:tr w:rsidR="00C058B7" w:rsidRPr="00C058B7" w14:paraId="5EF6E187" w14:textId="77777777" w:rsidTr="00C058B7">
        <w:trPr>
          <w:trHeight w:val="330"/>
        </w:trPr>
        <w:tc>
          <w:tcPr>
            <w:tcW w:w="524" w:type="dxa"/>
            <w:noWrap/>
            <w:hideMark/>
          </w:tcPr>
          <w:p w14:paraId="037A9DB8"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8. Validation against outcomes</w:t>
            </w:r>
          </w:p>
        </w:tc>
        <w:tc>
          <w:tcPr>
            <w:tcW w:w="2002" w:type="dxa"/>
            <w:noWrap/>
            <w:hideMark/>
          </w:tcPr>
          <w:p w14:paraId="12014761"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Do scores behave as a valid measure of literacy would be expected to behave?</w:t>
            </w:r>
          </w:p>
        </w:tc>
        <w:tc>
          <w:tcPr>
            <w:tcW w:w="3178" w:type="dxa"/>
            <w:noWrap/>
            <w:hideMark/>
          </w:tcPr>
          <w:p w14:paraId="561C1C2B"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Hypotheses specified in advance with direction and expected magnitude</w:t>
            </w:r>
          </w:p>
        </w:tc>
        <w:tc>
          <w:tcPr>
            <w:tcW w:w="1538" w:type="dxa"/>
            <w:noWrap/>
            <w:hideMark/>
          </w:tcPr>
          <w:p w14:paraId="0F7185DA"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Hypotheses testing for construct validity — not criterion validity, there being no gold standard</w:t>
            </w:r>
          </w:p>
        </w:tc>
        <w:tc>
          <w:tcPr>
            <w:tcW w:w="2148" w:type="dxa"/>
            <w:noWrap/>
            <w:hideMark/>
          </w:tcPr>
          <w:p w14:paraId="1128A2B6" w14:textId="77777777" w:rsidR="00C058B7" w:rsidRPr="00C058B7" w:rsidRDefault="00C058B7" w:rsidP="00C058B7">
            <w:pPr>
              <w:spacing w:after="0" w:line="240" w:lineRule="auto"/>
              <w:rPr>
                <w:rFonts w:ascii="Times New Roman" w:eastAsia="Times New Roman" w:hAnsi="Times New Roman"/>
                <w:color w:val="000000"/>
                <w:sz w:val="24"/>
                <w:szCs w:val="24"/>
              </w:rPr>
            </w:pPr>
            <w:r w:rsidRPr="00C058B7">
              <w:rPr>
                <w:rFonts w:ascii="Times New Roman" w:eastAsia="Times New Roman" w:hAnsi="Times New Roman"/>
                <w:color w:val="000000"/>
                <w:sz w:val="24"/>
                <w:szCs w:val="24"/>
              </w:rPr>
              <w:t>Whether the pre-specified hypotheses are supported; hypotheses added after the analysis are reported as such</w:t>
            </w:r>
          </w:p>
        </w:tc>
      </w:tr>
    </w:tbl>
    <w:p w14:paraId="4036E7D6" w14:textId="77777777" w:rsidR="00C058B7" w:rsidRPr="00C058B7" w:rsidRDefault="00C058B7" w:rsidP="00C058B7">
      <w:pPr>
        <w:spacing w:before="240" w:after="240" w:line="240" w:lineRule="auto"/>
        <w:jc w:val="both"/>
        <w:rPr>
          <w:rFonts w:ascii="Times New Roman" w:hAnsi="Times New Roman"/>
          <w:sz w:val="24"/>
          <w:szCs w:val="24"/>
        </w:rPr>
      </w:pPr>
      <w:r w:rsidRPr="00C058B7">
        <w:rPr>
          <w:rFonts w:ascii="Times New Roman" w:eastAsia="Times New Roman" w:hAnsi="Times New Roman"/>
          <w:i/>
          <w:iCs/>
          <w:sz w:val="24"/>
          <w:szCs w:val="24"/>
        </w:rPr>
        <w:t>Note. Steps 1 and 2 constitute Phase 1 and are common to both the adaptation and development routes; steps 3 to 8 constitute Phase 2 and apply to whichever item pool Phase 1 indicates. The sequence addresses the mental health literacy strand; the suicide and self-harm strand requires the same sequence run separately.</w:t>
      </w:r>
    </w:p>
    <w:p w14:paraId="1568D6E2"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i/>
          <w:iCs/>
          <w:sz w:val="24"/>
          <w:szCs w:val="24"/>
        </w:rPr>
        <w:t>Phases 3 and 4</w:t>
      </w:r>
    </w:p>
    <w:p w14:paraId="72086348"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Phase 3: Measurement. Cross-sectional assessment of literacy across occupational groups and grades within the sector, with an instrument licensed for the population and a defensible interpretation of what its scores mean. Disclosure conditions established in Phase 1 should inform administration, including whether anonymity is achievable.</w:t>
      </w:r>
    </w:p>
    <w:p w14:paraId="46D5B06D"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Phase 4: Intervention. Only once measurement is licensed, and designed on the understanding that worker-directed knowledge alone has a poor record of changing </w:t>
      </w:r>
      <w:proofErr w:type="spellStart"/>
      <w:r w:rsidRPr="00C058B7">
        <w:rPr>
          <w:rFonts w:ascii="Times New Roman" w:eastAsia="Times New Roman" w:hAnsi="Times New Roman"/>
          <w:sz w:val="24"/>
          <w:szCs w:val="24"/>
        </w:rPr>
        <w:t>behaviour</w:t>
      </w:r>
      <w:proofErr w:type="spellEnd"/>
      <w:r w:rsidRPr="00C058B7">
        <w:rPr>
          <w:rFonts w:ascii="Times New Roman" w:eastAsia="Times New Roman" w:hAnsi="Times New Roman"/>
          <w:sz w:val="24"/>
          <w:szCs w:val="24"/>
        </w:rPr>
        <w:t xml:space="preserve">. The evidence </w:t>
      </w:r>
      <w:proofErr w:type="spellStart"/>
      <w:r w:rsidRPr="00C058B7">
        <w:rPr>
          <w:rFonts w:ascii="Times New Roman" w:eastAsia="Times New Roman" w:hAnsi="Times New Roman"/>
          <w:sz w:val="24"/>
          <w:szCs w:val="24"/>
        </w:rPr>
        <w:t>favouring</w:t>
      </w:r>
      <w:proofErr w:type="spellEnd"/>
      <w:r w:rsidRPr="00C058B7">
        <w:rPr>
          <w:rFonts w:ascii="Times New Roman" w:eastAsia="Times New Roman" w:hAnsi="Times New Roman"/>
          <w:sz w:val="24"/>
          <w:szCs w:val="24"/>
        </w:rPr>
        <w:t xml:space="preserve"> manager training, </w:t>
      </w:r>
      <w:r w:rsidRPr="00C058B7">
        <w:rPr>
          <w:rFonts w:ascii="Times New Roman" w:eastAsia="Times New Roman" w:hAnsi="Times New Roman"/>
          <w:sz w:val="24"/>
          <w:szCs w:val="24"/>
        </w:rPr>
        <w:lastRenderedPageBreak/>
        <w:t xml:space="preserve">and </w:t>
      </w:r>
      <w:proofErr w:type="spellStart"/>
      <w:r w:rsidRPr="00C058B7">
        <w:rPr>
          <w:rFonts w:ascii="Times New Roman" w:eastAsia="Times New Roman" w:hAnsi="Times New Roman"/>
          <w:sz w:val="24"/>
          <w:szCs w:val="24"/>
        </w:rPr>
        <w:t>Jorm’s</w:t>
      </w:r>
      <w:proofErr w:type="spellEnd"/>
      <w:r w:rsidRPr="00C058B7">
        <w:rPr>
          <w:rFonts w:ascii="Times New Roman" w:eastAsia="Times New Roman" w:hAnsi="Times New Roman"/>
          <w:sz w:val="24"/>
          <w:szCs w:val="24"/>
        </w:rPr>
        <w:t xml:space="preserve"> fifth literacy component of first aid skills to support others (</w:t>
      </w:r>
      <w:proofErr w:type="spellStart"/>
      <w:r w:rsidRPr="00C058B7">
        <w:rPr>
          <w:rFonts w:ascii="Times New Roman" w:eastAsia="Times New Roman" w:hAnsi="Times New Roman"/>
          <w:sz w:val="24"/>
          <w:szCs w:val="24"/>
        </w:rPr>
        <w:t>Jorm</w:t>
      </w:r>
      <w:proofErr w:type="spellEnd"/>
      <w:r w:rsidRPr="00C058B7">
        <w:rPr>
          <w:rFonts w:ascii="Times New Roman" w:eastAsia="Times New Roman" w:hAnsi="Times New Roman"/>
          <w:sz w:val="24"/>
          <w:szCs w:val="24"/>
        </w:rPr>
        <w:t>, 2012), both point toward the crew and the supervisory tier rather than the isolated individual. The WHO guidance cautions that there is not yet substantial evidence for appointing trained workers as informal helpers for colleagues, and that any such arrangement requires supervision, boundary management and defined referral channels (World Health Organization, 2022); that caution should shape the design rather than preclude it.</w:t>
      </w:r>
    </w:p>
    <w:p w14:paraId="0EDE1566"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Four limits of the sequence should be stated. It does not promise criterion validity, and should not be described as validating the instrument in the sense that implies. It does not address responsiveness, which can only be examined once an intervention exists and therefore belongs to Phase 4. It does not resolve the tension between safeguarding and validity, which it surfaces at step 5 as a design decision to be taken deliberately in the protocol. And it does not establish the legal and occupational consequences of disclosure in Zimbabwe, which are a parameter of steps 1 and 5 and require establishment by other means. The suicide and self-harm strand requires this sequence run separately rather than appended to it: the Literacy of Suicide Scale has no located African validation, the conceptual and moral variation across settings is greater, and the research obligations set out above attach to every step rather than to the fieldwork alone.</w:t>
      </w:r>
    </w:p>
    <w:p w14:paraId="78E7AEB0"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4"/>
          <w:szCs w:val="24"/>
        </w:rPr>
        <w:t>Implications for practice</w:t>
      </w:r>
    </w:p>
    <w:p w14:paraId="6B257E76"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 xml:space="preserve">Two implications can be stated now, without waiting for the </w:t>
      </w:r>
      <w:proofErr w:type="spellStart"/>
      <w:r w:rsidRPr="00C058B7">
        <w:rPr>
          <w:rFonts w:ascii="Times New Roman" w:eastAsia="Times New Roman" w:hAnsi="Times New Roman"/>
          <w:sz w:val="24"/>
          <w:szCs w:val="24"/>
        </w:rPr>
        <w:t>programme</w:t>
      </w:r>
      <w:proofErr w:type="spellEnd"/>
      <w:r w:rsidRPr="00C058B7">
        <w:rPr>
          <w:rFonts w:ascii="Times New Roman" w:eastAsia="Times New Roman" w:hAnsi="Times New Roman"/>
          <w:sz w:val="24"/>
          <w:szCs w:val="24"/>
        </w:rPr>
        <w:t xml:space="preserve"> above. The first is that the risk-factor literature locates the problem at the level of work design rather than individual vulnerability and recommends </w:t>
      </w:r>
      <w:proofErr w:type="spellStart"/>
      <w:r w:rsidRPr="00C058B7">
        <w:rPr>
          <w:rFonts w:ascii="Times New Roman" w:eastAsia="Times New Roman" w:hAnsi="Times New Roman"/>
          <w:sz w:val="24"/>
          <w:szCs w:val="24"/>
        </w:rPr>
        <w:t>organisationally</w:t>
      </w:r>
      <w:proofErr w:type="spellEnd"/>
      <w:r w:rsidRPr="00C058B7">
        <w:rPr>
          <w:rFonts w:ascii="Times New Roman" w:eastAsia="Times New Roman" w:hAnsi="Times New Roman"/>
          <w:sz w:val="24"/>
          <w:szCs w:val="24"/>
        </w:rPr>
        <w:t xml:space="preserve"> focused policy and intervention (</w:t>
      </w:r>
      <w:proofErr w:type="spellStart"/>
      <w:r w:rsidRPr="00C058B7">
        <w:rPr>
          <w:rFonts w:ascii="Times New Roman" w:eastAsia="Times New Roman" w:hAnsi="Times New Roman"/>
          <w:sz w:val="24"/>
          <w:szCs w:val="24"/>
        </w:rPr>
        <w:t>Battams</w:t>
      </w:r>
      <w:proofErr w:type="spellEnd"/>
      <w:r w:rsidRPr="00C058B7">
        <w:rPr>
          <w:rFonts w:ascii="Times New Roman" w:eastAsia="Times New Roman" w:hAnsi="Times New Roman"/>
          <w:sz w:val="24"/>
          <w:szCs w:val="24"/>
        </w:rPr>
        <w:t xml:space="preserve"> et al., 2014). Employers in the sector need not await Zimbabwe-specific literacy data to attend to shift patterns, standby burden, job control at operator level and the conditions of restoration work.</w:t>
      </w:r>
    </w:p>
    <w:p w14:paraId="18715DB2"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The second is that where disclosure carries plausible occupational consequence, literacy provision without a protected disclosure route is unlikely to convert into help-seeking. Establishing what happens to a worker who discloses — and making that answer known and credible — is a precondition of literacy intervention rather than a complement to it.</w:t>
      </w:r>
    </w:p>
    <w:p w14:paraId="50242DA3"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8"/>
          <w:szCs w:val="24"/>
        </w:rPr>
        <w:t>LIMITATIONS</w:t>
      </w:r>
    </w:p>
    <w:p w14:paraId="16F793FE"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This review is conceptual and narrative rather than systematic. It did not follow PRISMA procedures, no subscription database interface was queried directly, and retrieval counts are accordingly not reported; screening was conducted by one reviewer without independent duplication. Its source selection is documented but not exhaustive. Searches were conducted in English, which in a review whose central argument concerns linguistic and conceptual mismatch is a limitation of some irony and real consequence: Shona- and Ndebele-language scholarship, and Zimbabwean grey literature on the energy sector, are not represented. Several claims about sector conditions in Zimbabwe are advanced as hypotheses precisely because no citable evidence was located for them. The review draws heavily on high-income-country literature for sector risk, and the grounds for transfer are argued rather than demonstrated. The item-level re-analysis presented in Table 3 is a secondary analysis of published indices and inherits the limitations of the study that produced them.</w:t>
      </w:r>
    </w:p>
    <w:p w14:paraId="32F53F95"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8"/>
          <w:szCs w:val="24"/>
        </w:rPr>
        <w:t>CONCLUSION</w:t>
      </w:r>
    </w:p>
    <w:p w14:paraId="0594F579"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The objective from which this review began — establishing awareness of mental health conditions among energy-sector workers — is a reasonable question that cannot presently be answered well. Not because the workforce is inaccessible or the construct inapplicable, but because the instruments available have not been shown to measure what they claim to measure in this population, and because in one domain the conditions of disclosure may make measurement mean something other than it appears to.</w:t>
      </w:r>
    </w:p>
    <w:p w14:paraId="3E99DB3B"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sz w:val="24"/>
          <w:szCs w:val="24"/>
        </w:rPr>
        <w:t>Neither obstacle is permanent. The methodological precedent for addressing the first exists in the Zimbabwean literature and requires extension rather than invention. The second requires that the occupational and legal consequences of disclosure be established rather than assumed. This review recommends that both be addressed before the survey is fielded, rather than discovered in the discussion section afterwards.</w:t>
      </w:r>
    </w:p>
    <w:p w14:paraId="2F7C29B8" w14:textId="77777777" w:rsidR="00C058B7" w:rsidRPr="00C058B7" w:rsidRDefault="00C058B7" w:rsidP="00C058B7">
      <w:pPr>
        <w:spacing w:after="240" w:line="240" w:lineRule="auto"/>
        <w:jc w:val="both"/>
        <w:rPr>
          <w:rFonts w:ascii="Times New Roman" w:hAnsi="Times New Roman"/>
          <w:sz w:val="24"/>
          <w:szCs w:val="24"/>
        </w:rPr>
      </w:pPr>
      <w:r w:rsidRPr="00C058B7">
        <w:rPr>
          <w:rFonts w:ascii="Times New Roman" w:eastAsia="Times New Roman" w:hAnsi="Times New Roman"/>
          <w:b/>
          <w:bCs/>
          <w:sz w:val="28"/>
          <w:szCs w:val="24"/>
        </w:rPr>
        <w:lastRenderedPageBreak/>
        <w:t>REFERENCES</w:t>
      </w:r>
    </w:p>
    <w:p w14:paraId="49595607" w14:textId="77777777" w:rsidR="00C058B7" w:rsidRPr="00C058B7" w:rsidRDefault="00C058B7" w:rsidP="00C058B7">
      <w:pPr>
        <w:pStyle w:val="ListParagraph"/>
        <w:numPr>
          <w:ilvl w:val="0"/>
          <w:numId w:val="36"/>
        </w:numPr>
        <w:spacing w:after="0" w:line="240" w:lineRule="auto"/>
        <w:jc w:val="both"/>
        <w:rPr>
          <w:rFonts w:ascii="Times New Roman" w:hAnsi="Times New Roman"/>
          <w:sz w:val="24"/>
          <w:szCs w:val="24"/>
        </w:rPr>
      </w:pPr>
      <w:r w:rsidRPr="00C058B7">
        <w:rPr>
          <w:rFonts w:ascii="Times New Roman" w:eastAsia="Times New Roman" w:hAnsi="Times New Roman"/>
          <w:sz w:val="24"/>
          <w:szCs w:val="24"/>
        </w:rPr>
        <w:t>American Psychiatric Association. (2013). Diagnostic and statistical manual of mental disorders (5th ed.). American Psychiatric Publishing.</w:t>
      </w:r>
    </w:p>
    <w:p w14:paraId="034630C0" w14:textId="77777777" w:rsidR="00C058B7" w:rsidRPr="00C058B7" w:rsidRDefault="00C058B7" w:rsidP="00C058B7">
      <w:pPr>
        <w:pStyle w:val="ListParagraph"/>
        <w:numPr>
          <w:ilvl w:val="0"/>
          <w:numId w:val="36"/>
        </w:numPr>
        <w:spacing w:after="0" w:line="240" w:lineRule="auto"/>
        <w:jc w:val="both"/>
        <w:rPr>
          <w:rFonts w:ascii="Times New Roman" w:hAnsi="Times New Roman"/>
          <w:sz w:val="24"/>
          <w:szCs w:val="24"/>
        </w:rPr>
      </w:pPr>
      <w:r w:rsidRPr="00C058B7">
        <w:rPr>
          <w:rFonts w:ascii="Times New Roman" w:eastAsia="Times New Roman" w:hAnsi="Times New Roman"/>
          <w:sz w:val="24"/>
          <w:szCs w:val="24"/>
        </w:rPr>
        <w:t>American Psychiatric Association. (2022). Diagnostic and statistical manual of mental disorders (5th ed., text rev.). American Psychiatric Publishing.</w:t>
      </w:r>
    </w:p>
    <w:p w14:paraId="36C8DFEF" w14:textId="77777777" w:rsidR="00C058B7" w:rsidRPr="00C058B7" w:rsidRDefault="00C058B7" w:rsidP="00C058B7">
      <w:pPr>
        <w:pStyle w:val="ListParagraph"/>
        <w:numPr>
          <w:ilvl w:val="0"/>
          <w:numId w:val="36"/>
        </w:numPr>
        <w:spacing w:after="0" w:line="240" w:lineRule="auto"/>
        <w:jc w:val="both"/>
        <w:rPr>
          <w:rFonts w:ascii="Times New Roman" w:hAnsi="Times New Roman"/>
          <w:sz w:val="24"/>
          <w:szCs w:val="24"/>
        </w:rPr>
      </w:pPr>
      <w:r w:rsidRPr="00C058B7">
        <w:rPr>
          <w:rFonts w:ascii="Times New Roman" w:eastAsia="Times New Roman" w:hAnsi="Times New Roman"/>
          <w:sz w:val="24"/>
          <w:szCs w:val="24"/>
        </w:rPr>
        <w:t xml:space="preserve">Battams, S., Roche, A. M., Fischer, J. A., Lee, N. K., Cameron, J., &amp; Kostadinov, V. (2014). Workplace risk factors for anxiety and depression in male-dominated industries: A systematic review. Health Psychology and Behavioral Medicine, 2(1), 983–1008. </w:t>
      </w:r>
    </w:p>
    <w:p w14:paraId="5343B7C8" w14:textId="77777777" w:rsidR="00C058B7" w:rsidRPr="00C058B7" w:rsidRDefault="00C058B7" w:rsidP="00C058B7">
      <w:pPr>
        <w:pStyle w:val="ListParagraph"/>
        <w:spacing w:after="0" w:line="240" w:lineRule="auto"/>
        <w:jc w:val="both"/>
        <w:rPr>
          <w:rFonts w:ascii="Times New Roman" w:hAnsi="Times New Roman"/>
          <w:sz w:val="24"/>
          <w:szCs w:val="24"/>
        </w:rPr>
      </w:pPr>
      <w:r w:rsidRPr="00C058B7">
        <w:rPr>
          <w:rFonts w:ascii="Times New Roman" w:eastAsia="Times New Roman" w:hAnsi="Times New Roman"/>
          <w:sz w:val="24"/>
          <w:szCs w:val="24"/>
        </w:rPr>
        <w:t>https://doi.org/10.1080/21642850.2014.954579</w:t>
      </w:r>
    </w:p>
    <w:p w14:paraId="67EE49F9" w14:textId="77777777" w:rsidR="00C058B7" w:rsidRPr="00C058B7" w:rsidRDefault="00C058B7" w:rsidP="00C058B7">
      <w:pPr>
        <w:pStyle w:val="ListParagraph"/>
        <w:numPr>
          <w:ilvl w:val="0"/>
          <w:numId w:val="36"/>
        </w:numPr>
        <w:spacing w:after="0" w:line="240" w:lineRule="auto"/>
        <w:jc w:val="both"/>
        <w:rPr>
          <w:rFonts w:ascii="Times New Roman" w:hAnsi="Times New Roman"/>
          <w:sz w:val="24"/>
          <w:szCs w:val="24"/>
        </w:rPr>
      </w:pPr>
      <w:r w:rsidRPr="00C058B7">
        <w:rPr>
          <w:rFonts w:ascii="Times New Roman" w:eastAsia="Times New Roman" w:hAnsi="Times New Roman"/>
          <w:sz w:val="24"/>
          <w:szCs w:val="24"/>
        </w:rPr>
        <w:t>Blommetjies, L., &amp; Deacon, E. (2026). Validation and improvement of the mental health literacy scale to assess undergraduate nursing students in South Africa. South African Journal of Psychiatry, 32, a2533. https://doi.org/10.4102/sajpsychiatry.v32i0.2533</w:t>
      </w:r>
    </w:p>
    <w:p w14:paraId="3B98B8E3" w14:textId="77777777" w:rsidR="00C058B7" w:rsidRPr="00C058B7" w:rsidRDefault="00C058B7" w:rsidP="00C058B7">
      <w:pPr>
        <w:pStyle w:val="ListParagraph"/>
        <w:numPr>
          <w:ilvl w:val="0"/>
          <w:numId w:val="36"/>
        </w:numPr>
        <w:spacing w:after="0" w:line="240" w:lineRule="auto"/>
        <w:jc w:val="both"/>
        <w:rPr>
          <w:rFonts w:ascii="Times New Roman" w:hAnsi="Times New Roman"/>
          <w:sz w:val="24"/>
          <w:szCs w:val="24"/>
        </w:rPr>
      </w:pPr>
      <w:r w:rsidRPr="00C058B7">
        <w:rPr>
          <w:rFonts w:ascii="Times New Roman" w:eastAsia="Times New Roman" w:hAnsi="Times New Roman"/>
          <w:sz w:val="24"/>
          <w:szCs w:val="24"/>
        </w:rPr>
        <w:t>Calear, A. L., Batterham, P. J., Trias, A., &amp; Christensen, H. (2022). The Literacy of Suicide Scale: Development, validation, and application. Crisis, 43(5), 385–390. https://doi.org/10.1027/0227-5910/a000798</w:t>
      </w:r>
    </w:p>
    <w:p w14:paraId="6CF9B7BA" w14:textId="77777777" w:rsidR="00C058B7" w:rsidRPr="00C058B7" w:rsidRDefault="00C058B7" w:rsidP="00C058B7">
      <w:pPr>
        <w:pStyle w:val="ListParagraph"/>
        <w:numPr>
          <w:ilvl w:val="0"/>
          <w:numId w:val="36"/>
        </w:numPr>
        <w:spacing w:after="0" w:line="240" w:lineRule="auto"/>
        <w:jc w:val="both"/>
        <w:rPr>
          <w:rFonts w:ascii="Times New Roman" w:hAnsi="Times New Roman"/>
          <w:sz w:val="24"/>
          <w:szCs w:val="24"/>
        </w:rPr>
      </w:pPr>
      <w:r w:rsidRPr="00C058B7">
        <w:rPr>
          <w:rFonts w:ascii="Times New Roman" w:eastAsia="Times New Roman" w:hAnsi="Times New Roman"/>
          <w:sz w:val="24"/>
          <w:szCs w:val="24"/>
        </w:rPr>
        <w:t>Chibanda, D., Bowers, T., Verhey, R., Rusakaniko, S., Abas, M., Weiss, H. A., &amp; Araya, R. (2015). The Friendship Bench programme: A cluster randomised controlled trial of a brief psychological intervention for common mental disorders delivered by lay health workers in Zimbabwe. International Journal of Mental Health Systems, 9, 21. https://doi.org/10.1186/s13033-015-0013-y</w:t>
      </w:r>
    </w:p>
    <w:p w14:paraId="430A3D8D" w14:textId="77777777" w:rsidR="00C058B7" w:rsidRPr="00C058B7" w:rsidRDefault="00C058B7" w:rsidP="00C058B7">
      <w:pPr>
        <w:pStyle w:val="ListParagraph"/>
        <w:numPr>
          <w:ilvl w:val="0"/>
          <w:numId w:val="36"/>
        </w:numPr>
        <w:spacing w:after="0" w:line="240" w:lineRule="auto"/>
        <w:jc w:val="both"/>
        <w:rPr>
          <w:rFonts w:ascii="Times New Roman" w:hAnsi="Times New Roman"/>
          <w:sz w:val="24"/>
          <w:szCs w:val="24"/>
        </w:rPr>
      </w:pPr>
      <w:r w:rsidRPr="00C058B7">
        <w:rPr>
          <w:rFonts w:ascii="Times New Roman" w:eastAsia="Times New Roman" w:hAnsi="Times New Roman"/>
          <w:sz w:val="24"/>
          <w:szCs w:val="24"/>
        </w:rPr>
        <w:t>Chibanda, D., Weiss, H. A., Verhey, R., Simms, V., Munjoma, R., Rusakaniko, S., Chingono, A., Munetsi, E., Bere, T., Manda, E., Abas, M., &amp; Araya, R. (2016). Effect of a primary care–based psychological intervention on symptoms of common mental disorders in Zimbabwe: A randomized clinical trial. JAMA, 316(24), 2618–2626. https://doi.org/10.1001/jama.2016.19102</w:t>
      </w:r>
    </w:p>
    <w:p w14:paraId="7AE8221C" w14:textId="77777777" w:rsidR="00C058B7" w:rsidRPr="00C058B7" w:rsidRDefault="00C058B7" w:rsidP="00C058B7">
      <w:pPr>
        <w:pStyle w:val="ListParagraph"/>
        <w:numPr>
          <w:ilvl w:val="0"/>
          <w:numId w:val="36"/>
        </w:numPr>
        <w:spacing w:after="0" w:line="240" w:lineRule="auto"/>
        <w:jc w:val="both"/>
        <w:rPr>
          <w:rFonts w:ascii="Times New Roman" w:hAnsi="Times New Roman"/>
          <w:sz w:val="24"/>
          <w:szCs w:val="24"/>
        </w:rPr>
      </w:pPr>
      <w:r w:rsidRPr="00C058B7">
        <w:rPr>
          <w:rFonts w:ascii="Times New Roman" w:eastAsia="Times New Roman" w:hAnsi="Times New Roman"/>
          <w:sz w:val="24"/>
          <w:szCs w:val="24"/>
        </w:rPr>
        <w:t>Chiobvu, D., Onifade, H., Javangwe, G., &amp; Sami, M. (2025). Examining the effects of mental health literacy on stigma: Study of Zimbabwe Prisons and Correctional Service (ZPCS). BJPsych International, 22(4), 104–112. https://doi.org/10.1192/bji.2025.11</w:t>
      </w:r>
    </w:p>
    <w:p w14:paraId="36718ED9" w14:textId="77777777" w:rsidR="00C058B7" w:rsidRPr="00C058B7" w:rsidRDefault="00C058B7" w:rsidP="00C058B7">
      <w:pPr>
        <w:pStyle w:val="ListParagraph"/>
        <w:numPr>
          <w:ilvl w:val="0"/>
          <w:numId w:val="36"/>
        </w:numPr>
        <w:spacing w:after="0" w:line="240" w:lineRule="auto"/>
        <w:jc w:val="both"/>
        <w:rPr>
          <w:rFonts w:ascii="Times New Roman" w:hAnsi="Times New Roman"/>
          <w:sz w:val="24"/>
          <w:szCs w:val="24"/>
        </w:rPr>
      </w:pPr>
      <w:r w:rsidRPr="00C058B7">
        <w:rPr>
          <w:rFonts w:ascii="Times New Roman" w:eastAsia="Times New Roman" w:hAnsi="Times New Roman"/>
          <w:sz w:val="24"/>
          <w:szCs w:val="24"/>
        </w:rPr>
        <w:t xml:space="preserve">Cork, C., Kaiser, B. N., &amp; White, R. G. (2019). The integration of idioms of distress into mental health assessments and interventions: A systematic review. Global Mental Health, 6, e7. </w:t>
      </w:r>
    </w:p>
    <w:p w14:paraId="3D81EC48" w14:textId="77777777" w:rsidR="00C058B7" w:rsidRPr="00C058B7" w:rsidRDefault="00C058B7" w:rsidP="00C058B7">
      <w:pPr>
        <w:pStyle w:val="ListParagraph"/>
        <w:spacing w:after="0" w:line="240" w:lineRule="auto"/>
        <w:jc w:val="both"/>
        <w:rPr>
          <w:rFonts w:ascii="Times New Roman" w:hAnsi="Times New Roman"/>
          <w:sz w:val="24"/>
          <w:szCs w:val="24"/>
        </w:rPr>
      </w:pPr>
      <w:r w:rsidRPr="00C058B7">
        <w:rPr>
          <w:rFonts w:ascii="Times New Roman" w:eastAsia="Times New Roman" w:hAnsi="Times New Roman"/>
          <w:sz w:val="24"/>
          <w:szCs w:val="24"/>
        </w:rPr>
        <w:t>https://doi.org/10.1017/gmh.2019.5</w:t>
      </w:r>
    </w:p>
    <w:p w14:paraId="3C524AA4" w14:textId="77777777" w:rsidR="00C058B7" w:rsidRPr="00C058B7" w:rsidRDefault="00C058B7" w:rsidP="00C058B7">
      <w:pPr>
        <w:pStyle w:val="ListParagraph"/>
        <w:numPr>
          <w:ilvl w:val="0"/>
          <w:numId w:val="36"/>
        </w:numPr>
        <w:spacing w:after="0" w:line="240" w:lineRule="auto"/>
        <w:jc w:val="both"/>
        <w:rPr>
          <w:rFonts w:ascii="Times New Roman" w:hAnsi="Times New Roman"/>
          <w:sz w:val="24"/>
          <w:szCs w:val="24"/>
        </w:rPr>
      </w:pPr>
      <w:r w:rsidRPr="00C058B7">
        <w:rPr>
          <w:rFonts w:ascii="Times New Roman" w:eastAsia="Times New Roman" w:hAnsi="Times New Roman"/>
          <w:sz w:val="24"/>
          <w:szCs w:val="24"/>
        </w:rPr>
        <w:t xml:space="preserve">ElKhalil, R., AlMekkawi, M., O'Connor, M., Masuadi, E., Sherif, M., Belfakir, M., Ahmed, L. A., Al-Rifai, R. H., Bayoumi, R., &amp; Elbarazi, I. (2024). Measurement properties of the Mental Health Literacy Scale (MHLS): A systematic review. Asian Journal of Psychiatry, 101, 104214. </w:t>
      </w:r>
    </w:p>
    <w:p w14:paraId="3C06502B" w14:textId="77777777" w:rsidR="00C058B7" w:rsidRPr="00C058B7" w:rsidRDefault="00C058B7" w:rsidP="00C058B7">
      <w:pPr>
        <w:pStyle w:val="ListParagraph"/>
        <w:spacing w:after="0" w:line="240" w:lineRule="auto"/>
        <w:jc w:val="both"/>
        <w:rPr>
          <w:rFonts w:ascii="Times New Roman" w:hAnsi="Times New Roman"/>
          <w:sz w:val="24"/>
          <w:szCs w:val="24"/>
        </w:rPr>
      </w:pPr>
      <w:r w:rsidRPr="00C058B7">
        <w:rPr>
          <w:rFonts w:ascii="Times New Roman" w:eastAsia="Times New Roman" w:hAnsi="Times New Roman"/>
          <w:sz w:val="24"/>
          <w:szCs w:val="24"/>
        </w:rPr>
        <w:t>https://doi.org/10.1016/j.ajp.2024.104214</w:t>
      </w:r>
    </w:p>
    <w:p w14:paraId="593E4C40" w14:textId="77777777" w:rsidR="00C058B7" w:rsidRPr="00C058B7" w:rsidRDefault="00C058B7" w:rsidP="00C058B7">
      <w:pPr>
        <w:pStyle w:val="ListParagraph"/>
        <w:numPr>
          <w:ilvl w:val="0"/>
          <w:numId w:val="36"/>
        </w:numPr>
        <w:spacing w:after="0" w:line="240" w:lineRule="auto"/>
        <w:jc w:val="both"/>
        <w:rPr>
          <w:rFonts w:ascii="Times New Roman" w:hAnsi="Times New Roman"/>
          <w:sz w:val="24"/>
          <w:szCs w:val="24"/>
        </w:rPr>
      </w:pPr>
      <w:r w:rsidRPr="00C058B7">
        <w:rPr>
          <w:rFonts w:ascii="Times New Roman" w:eastAsia="Times New Roman" w:hAnsi="Times New Roman"/>
          <w:sz w:val="24"/>
          <w:szCs w:val="24"/>
        </w:rPr>
        <w:t>ElKhalil, R., Masuadi, E., Bayoumi, R., AlMekkawi, M., Ahmed, L. A., Al-Rifai, R. H., &amp; Elbarazi, I. (2025). Content validity of the Mental Health Literacy Scale for perinatal use based on expert and patient input. Scientific Reports, 15, 32759. https://doi.org/10.1038/s41598-025-17964-5</w:t>
      </w:r>
    </w:p>
    <w:p w14:paraId="460009CB" w14:textId="77777777" w:rsidR="00C058B7" w:rsidRPr="00C058B7" w:rsidRDefault="00C058B7" w:rsidP="00C058B7">
      <w:pPr>
        <w:pStyle w:val="ListParagraph"/>
        <w:numPr>
          <w:ilvl w:val="0"/>
          <w:numId w:val="36"/>
        </w:numPr>
        <w:spacing w:after="0" w:line="240" w:lineRule="auto"/>
        <w:jc w:val="both"/>
        <w:rPr>
          <w:rFonts w:ascii="Times New Roman" w:hAnsi="Times New Roman"/>
          <w:sz w:val="24"/>
          <w:szCs w:val="24"/>
        </w:rPr>
      </w:pPr>
      <w:r w:rsidRPr="00C058B7">
        <w:rPr>
          <w:rFonts w:ascii="Times New Roman" w:eastAsia="Times New Roman" w:hAnsi="Times New Roman"/>
          <w:sz w:val="24"/>
          <w:szCs w:val="24"/>
        </w:rPr>
        <w:t>Eneojo, N. I. F., Adamu, V. E., &amp; Arafat, S. M. Y. (2026). Suicide literacy in The Gambia. Discover Mental Health, 6(1), 150. https://doi.org/10.1007/s44192-026-00503-7</w:t>
      </w:r>
    </w:p>
    <w:p w14:paraId="0A8482B9" w14:textId="77777777" w:rsidR="00C058B7" w:rsidRPr="00C058B7" w:rsidRDefault="00C058B7" w:rsidP="00C058B7">
      <w:pPr>
        <w:pStyle w:val="ListParagraph"/>
        <w:numPr>
          <w:ilvl w:val="0"/>
          <w:numId w:val="36"/>
        </w:numPr>
        <w:spacing w:after="0" w:line="240" w:lineRule="auto"/>
        <w:jc w:val="both"/>
        <w:rPr>
          <w:rFonts w:ascii="Times New Roman" w:hAnsi="Times New Roman"/>
          <w:sz w:val="24"/>
          <w:szCs w:val="24"/>
        </w:rPr>
      </w:pPr>
      <w:r w:rsidRPr="00C058B7">
        <w:rPr>
          <w:rFonts w:ascii="Times New Roman" w:eastAsia="Times New Roman" w:hAnsi="Times New Roman"/>
          <w:sz w:val="24"/>
          <w:szCs w:val="24"/>
        </w:rPr>
        <w:t>Hoosain, M., Mayet-Hoosain, N., &amp; Plastow, N. A. (2023). Workplace-based interventions for mental health in Africa: A scoping review. International Journal of Environmental Research and Public Health, 20(10), 5863. https://doi.org/10.3390/ijerph20105863</w:t>
      </w:r>
    </w:p>
    <w:p w14:paraId="18979BBF" w14:textId="77777777" w:rsidR="00C058B7" w:rsidRPr="00C058B7" w:rsidRDefault="00C058B7" w:rsidP="00C058B7">
      <w:pPr>
        <w:pStyle w:val="ListParagraph"/>
        <w:numPr>
          <w:ilvl w:val="0"/>
          <w:numId w:val="36"/>
        </w:numPr>
        <w:spacing w:after="0" w:line="240" w:lineRule="auto"/>
        <w:jc w:val="both"/>
        <w:rPr>
          <w:rFonts w:ascii="Times New Roman" w:hAnsi="Times New Roman"/>
          <w:sz w:val="24"/>
          <w:szCs w:val="24"/>
        </w:rPr>
      </w:pPr>
      <w:r w:rsidRPr="00C058B7">
        <w:rPr>
          <w:rFonts w:ascii="Times New Roman" w:eastAsia="Times New Roman" w:hAnsi="Times New Roman"/>
          <w:sz w:val="24"/>
          <w:szCs w:val="24"/>
        </w:rPr>
        <w:t>Jorm, A. F. (2000). Mental health literacy: Public knowledge and beliefs about mental disorders. British Journal of Psychiatry, 177(5), 396–401. https://doi.org/10.1192/bjp.177.5.396</w:t>
      </w:r>
    </w:p>
    <w:p w14:paraId="0B3EAC22" w14:textId="77777777" w:rsidR="00C058B7" w:rsidRPr="00C058B7" w:rsidRDefault="00C058B7" w:rsidP="00C058B7">
      <w:pPr>
        <w:pStyle w:val="ListParagraph"/>
        <w:numPr>
          <w:ilvl w:val="0"/>
          <w:numId w:val="36"/>
        </w:numPr>
        <w:spacing w:after="0" w:line="240" w:lineRule="auto"/>
        <w:jc w:val="both"/>
        <w:rPr>
          <w:rFonts w:ascii="Times New Roman" w:hAnsi="Times New Roman"/>
          <w:sz w:val="24"/>
          <w:szCs w:val="24"/>
        </w:rPr>
      </w:pPr>
      <w:r w:rsidRPr="00C058B7">
        <w:rPr>
          <w:rFonts w:ascii="Times New Roman" w:eastAsia="Times New Roman" w:hAnsi="Times New Roman"/>
          <w:sz w:val="24"/>
          <w:szCs w:val="24"/>
        </w:rPr>
        <w:t>Jorm, A. F. (2012). Mental health literacy: Empowering the community to take action for better mental health. American Psychologist, 67(3), 231–243. https://doi.org/10.1037/a0025957</w:t>
      </w:r>
    </w:p>
    <w:p w14:paraId="7E5E3B3C" w14:textId="77777777" w:rsidR="00C058B7" w:rsidRPr="00C058B7" w:rsidRDefault="00C058B7" w:rsidP="00C058B7">
      <w:pPr>
        <w:pStyle w:val="ListParagraph"/>
        <w:numPr>
          <w:ilvl w:val="0"/>
          <w:numId w:val="36"/>
        </w:numPr>
        <w:spacing w:after="0" w:line="240" w:lineRule="auto"/>
        <w:jc w:val="both"/>
        <w:rPr>
          <w:rFonts w:ascii="Times New Roman" w:hAnsi="Times New Roman"/>
          <w:sz w:val="24"/>
          <w:szCs w:val="24"/>
        </w:rPr>
      </w:pPr>
      <w:r w:rsidRPr="00C058B7">
        <w:rPr>
          <w:rFonts w:ascii="Times New Roman" w:eastAsia="Times New Roman" w:hAnsi="Times New Roman"/>
          <w:sz w:val="24"/>
          <w:szCs w:val="24"/>
        </w:rPr>
        <w:t xml:space="preserve">Jorm, A. F., Korten, A. E., Jacomb, P. A., Christensen, H., Rodgers, B., &amp; Pollitt, P. (1997). "Mental health literacy": A survey of the public's ability to recognise mental disorders and their beliefs about the effectiveness of treatment. Medical Journal of Australia, 166(4), 182–186. </w:t>
      </w:r>
    </w:p>
    <w:p w14:paraId="0013776B" w14:textId="77777777" w:rsidR="00C058B7" w:rsidRPr="00C058B7" w:rsidRDefault="00C058B7" w:rsidP="00C058B7">
      <w:pPr>
        <w:pStyle w:val="ListParagraph"/>
        <w:spacing w:after="0" w:line="240" w:lineRule="auto"/>
        <w:jc w:val="both"/>
        <w:rPr>
          <w:rFonts w:ascii="Times New Roman" w:hAnsi="Times New Roman"/>
          <w:sz w:val="24"/>
          <w:szCs w:val="24"/>
        </w:rPr>
      </w:pPr>
      <w:r w:rsidRPr="00C058B7">
        <w:rPr>
          <w:rFonts w:ascii="Times New Roman" w:eastAsia="Times New Roman" w:hAnsi="Times New Roman"/>
          <w:sz w:val="24"/>
          <w:szCs w:val="24"/>
        </w:rPr>
        <w:t>https://doi.org/10.5694/j.1326-5377.1997.tb140071.x</w:t>
      </w:r>
    </w:p>
    <w:p w14:paraId="05D8F8D9" w14:textId="77777777" w:rsidR="00C058B7" w:rsidRPr="00C058B7" w:rsidRDefault="00C058B7" w:rsidP="00C058B7">
      <w:pPr>
        <w:pStyle w:val="ListParagraph"/>
        <w:numPr>
          <w:ilvl w:val="0"/>
          <w:numId w:val="36"/>
        </w:numPr>
        <w:spacing w:after="0" w:line="240" w:lineRule="auto"/>
        <w:jc w:val="both"/>
        <w:rPr>
          <w:rFonts w:ascii="Times New Roman" w:hAnsi="Times New Roman"/>
          <w:sz w:val="24"/>
          <w:szCs w:val="24"/>
        </w:rPr>
      </w:pPr>
      <w:r w:rsidRPr="00C058B7">
        <w:rPr>
          <w:rFonts w:ascii="Times New Roman" w:eastAsia="Times New Roman" w:hAnsi="Times New Roman"/>
          <w:sz w:val="24"/>
          <w:szCs w:val="24"/>
        </w:rPr>
        <w:t>Kohrt, B. A., Rasmussen, A., Kaiser, B. N., Haroz, E. E., Maharjan, S. M., Mutamba, B. B., de Jong, J. T. V. M., &amp; Hinton, D. E. (2014). Cultural concepts of distress and psychiatric disorders: Literature review and research recommendations for global mental health epidemiology. International Journal of Epidemiology, 43(2), 365–406. https://doi.org/10.1093/ije/dyt227</w:t>
      </w:r>
    </w:p>
    <w:p w14:paraId="6FCF606B" w14:textId="77777777" w:rsidR="00C058B7" w:rsidRPr="00C058B7" w:rsidRDefault="00C058B7" w:rsidP="00C058B7">
      <w:pPr>
        <w:pStyle w:val="ListParagraph"/>
        <w:numPr>
          <w:ilvl w:val="0"/>
          <w:numId w:val="36"/>
        </w:numPr>
        <w:spacing w:after="0" w:line="240" w:lineRule="auto"/>
        <w:jc w:val="both"/>
        <w:rPr>
          <w:rFonts w:ascii="Times New Roman" w:hAnsi="Times New Roman"/>
          <w:sz w:val="24"/>
          <w:szCs w:val="24"/>
        </w:rPr>
      </w:pPr>
      <w:r w:rsidRPr="00C058B7">
        <w:rPr>
          <w:rFonts w:ascii="Times New Roman" w:eastAsia="Times New Roman" w:hAnsi="Times New Roman"/>
          <w:sz w:val="24"/>
          <w:szCs w:val="24"/>
        </w:rPr>
        <w:lastRenderedPageBreak/>
        <w:t xml:space="preserve">Korhonen, J., Axelin, A., Grobler, G., &amp; Lahti, M. (2019). Content validation of Mental Health Literacy Scale (MHLS) for primary health care workers in South Africa and Zambia — a heterogeneous expert panel method. Global Health Action, 12(1), 1668215. </w:t>
      </w:r>
    </w:p>
    <w:p w14:paraId="01B2CA3A" w14:textId="77777777" w:rsidR="00C058B7" w:rsidRPr="00C058B7" w:rsidRDefault="00C058B7" w:rsidP="00C058B7">
      <w:pPr>
        <w:pStyle w:val="ListParagraph"/>
        <w:spacing w:after="0" w:line="240" w:lineRule="auto"/>
        <w:jc w:val="both"/>
        <w:rPr>
          <w:rFonts w:ascii="Times New Roman" w:hAnsi="Times New Roman"/>
          <w:sz w:val="24"/>
          <w:szCs w:val="24"/>
        </w:rPr>
      </w:pPr>
      <w:r w:rsidRPr="00C058B7">
        <w:rPr>
          <w:rFonts w:ascii="Times New Roman" w:eastAsia="Times New Roman" w:hAnsi="Times New Roman"/>
          <w:sz w:val="24"/>
          <w:szCs w:val="24"/>
        </w:rPr>
        <w:t>https://doi.org/10.1080/16549716.2019.1668215</w:t>
      </w:r>
    </w:p>
    <w:p w14:paraId="4304BCF5" w14:textId="77777777" w:rsidR="00C058B7" w:rsidRPr="00C058B7" w:rsidRDefault="00C058B7" w:rsidP="00C058B7">
      <w:pPr>
        <w:pStyle w:val="ListParagraph"/>
        <w:numPr>
          <w:ilvl w:val="0"/>
          <w:numId w:val="36"/>
        </w:numPr>
        <w:spacing w:after="0" w:line="240" w:lineRule="auto"/>
        <w:jc w:val="both"/>
        <w:rPr>
          <w:rFonts w:ascii="Times New Roman" w:hAnsi="Times New Roman"/>
          <w:sz w:val="24"/>
          <w:szCs w:val="24"/>
        </w:rPr>
      </w:pPr>
      <w:r w:rsidRPr="00C058B7">
        <w:rPr>
          <w:rFonts w:ascii="Times New Roman" w:eastAsia="Times New Roman" w:hAnsi="Times New Roman"/>
          <w:sz w:val="24"/>
          <w:szCs w:val="24"/>
        </w:rPr>
        <w:t>Korhonen, J., Axelin, A., Katajisto, J., &amp; Lahti, M. (2022). Construct validity and internal consistency of the revised Mental Health Literacy Scale in South African and Zambian contexts. Nursing Open, 9(2), 966–977. https://doi.org/10.1002/nop2.1132</w:t>
      </w:r>
    </w:p>
    <w:p w14:paraId="27D1CB17" w14:textId="77777777" w:rsidR="00C058B7" w:rsidRPr="00C058B7" w:rsidRDefault="00C058B7" w:rsidP="00C058B7">
      <w:pPr>
        <w:pStyle w:val="ListParagraph"/>
        <w:numPr>
          <w:ilvl w:val="0"/>
          <w:numId w:val="36"/>
        </w:numPr>
        <w:spacing w:after="0" w:line="240" w:lineRule="auto"/>
        <w:jc w:val="both"/>
        <w:rPr>
          <w:rFonts w:ascii="Times New Roman" w:hAnsi="Times New Roman"/>
          <w:sz w:val="24"/>
          <w:szCs w:val="24"/>
        </w:rPr>
      </w:pPr>
      <w:r w:rsidRPr="00C058B7">
        <w:rPr>
          <w:rFonts w:ascii="Times New Roman" w:eastAsia="Times New Roman" w:hAnsi="Times New Roman"/>
          <w:sz w:val="24"/>
          <w:szCs w:val="24"/>
        </w:rPr>
        <w:t>Korhonen, J., Axelin, A., Stein, D. J., Seedat, S., Mwape, L., Jansen, R., Groen, G., Grobler, G., Jörns-Presentati, A., Katajisto, J., &amp; Lahti, M. (2022). Mental health literacy among primary healthcare workers in South Africa and Zambia. Brain and Behavior, 12, e2807. https://doi.org/10.1002/brb3.2807</w:t>
      </w:r>
    </w:p>
    <w:p w14:paraId="3668F1CB" w14:textId="77777777" w:rsidR="00C058B7" w:rsidRPr="00C058B7" w:rsidRDefault="00C058B7" w:rsidP="00C058B7">
      <w:pPr>
        <w:pStyle w:val="ListParagraph"/>
        <w:numPr>
          <w:ilvl w:val="0"/>
          <w:numId w:val="36"/>
        </w:numPr>
        <w:spacing w:after="0" w:line="240" w:lineRule="auto"/>
        <w:jc w:val="both"/>
        <w:rPr>
          <w:rFonts w:ascii="Times New Roman" w:hAnsi="Times New Roman"/>
          <w:sz w:val="24"/>
          <w:szCs w:val="24"/>
        </w:rPr>
      </w:pPr>
      <w:r w:rsidRPr="00C058B7">
        <w:rPr>
          <w:rFonts w:ascii="Times New Roman" w:eastAsia="Times New Roman" w:hAnsi="Times New Roman"/>
          <w:sz w:val="24"/>
          <w:szCs w:val="24"/>
        </w:rPr>
        <w:t>Kutcher, S., Wei, Y., &amp; Coniglio, C. (2016). Mental health literacy: Past, present, and future. Canadian Journal of Psychiatry, 61(3), 154–158. https://doi.org/10.1177/0706743715616609</w:t>
      </w:r>
    </w:p>
    <w:p w14:paraId="7310DAAD" w14:textId="77777777" w:rsidR="00C058B7" w:rsidRPr="00C058B7" w:rsidRDefault="00C058B7" w:rsidP="00C058B7">
      <w:pPr>
        <w:pStyle w:val="ListParagraph"/>
        <w:numPr>
          <w:ilvl w:val="0"/>
          <w:numId w:val="36"/>
        </w:numPr>
        <w:spacing w:after="0" w:line="240" w:lineRule="auto"/>
        <w:jc w:val="both"/>
        <w:rPr>
          <w:rFonts w:ascii="Times New Roman" w:hAnsi="Times New Roman"/>
          <w:sz w:val="24"/>
          <w:szCs w:val="24"/>
        </w:rPr>
      </w:pPr>
      <w:r w:rsidRPr="00C058B7">
        <w:rPr>
          <w:rFonts w:ascii="Times New Roman" w:eastAsia="Times New Roman" w:hAnsi="Times New Roman"/>
          <w:sz w:val="24"/>
          <w:szCs w:val="24"/>
        </w:rPr>
        <w:t>Lee, N. K., Roche, A., Duraisingam, V., Fischer, J. A., &amp; Cameron, J. (2014). Effective interventions for mental health in male-dominated workplaces. Mental Health Review Journal, 19(4), 237–250. https://doi.org/10.1108/MHRJ-09-2014-0034</w:t>
      </w:r>
    </w:p>
    <w:p w14:paraId="68A20832" w14:textId="77777777" w:rsidR="00C058B7" w:rsidRPr="00C058B7" w:rsidRDefault="00C058B7" w:rsidP="00C058B7">
      <w:pPr>
        <w:pStyle w:val="ListParagraph"/>
        <w:numPr>
          <w:ilvl w:val="0"/>
          <w:numId w:val="36"/>
        </w:numPr>
        <w:spacing w:after="0" w:line="240" w:lineRule="auto"/>
        <w:jc w:val="both"/>
        <w:rPr>
          <w:rFonts w:ascii="Times New Roman" w:hAnsi="Times New Roman"/>
          <w:sz w:val="24"/>
          <w:szCs w:val="24"/>
        </w:rPr>
      </w:pPr>
      <w:r w:rsidRPr="00C058B7">
        <w:rPr>
          <w:rFonts w:ascii="Times New Roman" w:eastAsia="Times New Roman" w:hAnsi="Times New Roman"/>
          <w:sz w:val="24"/>
          <w:szCs w:val="24"/>
        </w:rPr>
        <w:t>Mokkink, L. B., Terwee, C. B., Patrick, D. L., Alonso, J., Stratford, P. W., Knol, D. L., Bouter, L. M., &amp; de Vet, H. C. W. (2010). The COSMIN study reached international consensus on taxonomy, terminology, and definitions of measurement properties for health-related patient-reported outcomes. Journal of Clinical Epidemiology, 63(7), 737–745. https://doi.org/10.1016/j.jclinepi.2010.02.006</w:t>
      </w:r>
    </w:p>
    <w:p w14:paraId="2B214EFE" w14:textId="77777777" w:rsidR="00C058B7" w:rsidRPr="00C058B7" w:rsidRDefault="00C058B7" w:rsidP="00C058B7">
      <w:pPr>
        <w:pStyle w:val="ListParagraph"/>
        <w:numPr>
          <w:ilvl w:val="0"/>
          <w:numId w:val="36"/>
        </w:numPr>
        <w:spacing w:after="0" w:line="240" w:lineRule="auto"/>
        <w:jc w:val="both"/>
        <w:rPr>
          <w:rFonts w:ascii="Times New Roman" w:hAnsi="Times New Roman"/>
          <w:sz w:val="24"/>
          <w:szCs w:val="24"/>
        </w:rPr>
      </w:pPr>
      <w:r w:rsidRPr="00C058B7">
        <w:rPr>
          <w:rFonts w:ascii="Times New Roman" w:eastAsia="Times New Roman" w:hAnsi="Times New Roman"/>
          <w:sz w:val="24"/>
          <w:szCs w:val="24"/>
        </w:rPr>
        <w:t xml:space="preserve">O'Connor, M., &amp; Casey, L. (2015). The Mental Health Literacy Scale (MHLS): A new scale-based measure of mental health literacy. Psychiatry Research, 229, 511–516. </w:t>
      </w:r>
    </w:p>
    <w:p w14:paraId="37E01E2C" w14:textId="77777777" w:rsidR="00C058B7" w:rsidRPr="00C058B7" w:rsidRDefault="00C058B7" w:rsidP="00C058B7">
      <w:pPr>
        <w:pStyle w:val="ListParagraph"/>
        <w:spacing w:after="0" w:line="240" w:lineRule="auto"/>
        <w:jc w:val="both"/>
        <w:rPr>
          <w:rFonts w:ascii="Times New Roman" w:hAnsi="Times New Roman"/>
          <w:sz w:val="24"/>
          <w:szCs w:val="24"/>
        </w:rPr>
      </w:pPr>
      <w:r w:rsidRPr="00C058B7">
        <w:rPr>
          <w:rFonts w:ascii="Times New Roman" w:eastAsia="Times New Roman" w:hAnsi="Times New Roman"/>
          <w:sz w:val="24"/>
          <w:szCs w:val="24"/>
        </w:rPr>
        <w:t>https://doi.org/10.1016/j.psychres.2015.05.064</w:t>
      </w:r>
    </w:p>
    <w:p w14:paraId="2BF244CB" w14:textId="77777777" w:rsidR="00C058B7" w:rsidRPr="00C058B7" w:rsidRDefault="00C058B7" w:rsidP="00C058B7">
      <w:pPr>
        <w:pStyle w:val="ListParagraph"/>
        <w:numPr>
          <w:ilvl w:val="0"/>
          <w:numId w:val="36"/>
        </w:numPr>
        <w:spacing w:after="0" w:line="240" w:lineRule="auto"/>
        <w:jc w:val="both"/>
        <w:rPr>
          <w:rFonts w:ascii="Times New Roman" w:hAnsi="Times New Roman"/>
          <w:sz w:val="24"/>
          <w:szCs w:val="24"/>
        </w:rPr>
      </w:pPr>
      <w:r w:rsidRPr="00C058B7">
        <w:rPr>
          <w:rFonts w:ascii="Times New Roman" w:eastAsia="Times New Roman" w:hAnsi="Times New Roman"/>
          <w:sz w:val="24"/>
          <w:szCs w:val="24"/>
        </w:rPr>
        <w:t>Patel, V., Simunyu, E., &amp; Gwanzura, F. (1995). Kufungisisa (thinking too much): A Shona idiom for non-psychotic mental illness. Central African Journal of Medicine, 41(7), 209–215.</w:t>
      </w:r>
    </w:p>
    <w:p w14:paraId="0845EC2D" w14:textId="77777777" w:rsidR="00C058B7" w:rsidRPr="00C058B7" w:rsidRDefault="00C058B7" w:rsidP="00C058B7">
      <w:pPr>
        <w:pStyle w:val="ListParagraph"/>
        <w:numPr>
          <w:ilvl w:val="0"/>
          <w:numId w:val="36"/>
        </w:numPr>
        <w:spacing w:after="0" w:line="240" w:lineRule="auto"/>
        <w:jc w:val="both"/>
        <w:rPr>
          <w:rFonts w:ascii="Times New Roman" w:hAnsi="Times New Roman"/>
          <w:sz w:val="24"/>
          <w:szCs w:val="24"/>
        </w:rPr>
      </w:pPr>
      <w:r w:rsidRPr="00C058B7">
        <w:rPr>
          <w:rFonts w:ascii="Times New Roman" w:eastAsia="Times New Roman" w:hAnsi="Times New Roman"/>
          <w:sz w:val="24"/>
          <w:szCs w:val="24"/>
        </w:rPr>
        <w:t>Patel, V., Simunyu, E., Gwanzura, F., Lewis, G., &amp; Mann, A. (1997). The Shona Symptom Questionnaire: The development of an indigenous measure of common mental disorders in Harare. Acta Psychiatrica Scandinavica, 95(6), 469–475. https://doi.org/10.1111/j.1600-0447.1997.tb10134.x</w:t>
      </w:r>
    </w:p>
    <w:p w14:paraId="7D82384F" w14:textId="77777777" w:rsidR="00C058B7" w:rsidRPr="00C058B7" w:rsidRDefault="00C058B7" w:rsidP="00C058B7">
      <w:pPr>
        <w:pStyle w:val="ListParagraph"/>
        <w:numPr>
          <w:ilvl w:val="0"/>
          <w:numId w:val="36"/>
        </w:numPr>
        <w:spacing w:after="0" w:line="240" w:lineRule="auto"/>
        <w:jc w:val="both"/>
        <w:rPr>
          <w:rFonts w:ascii="Times New Roman" w:hAnsi="Times New Roman"/>
          <w:sz w:val="24"/>
          <w:szCs w:val="24"/>
        </w:rPr>
      </w:pPr>
      <w:r w:rsidRPr="00C058B7">
        <w:rPr>
          <w:rFonts w:ascii="Times New Roman" w:eastAsia="Times New Roman" w:hAnsi="Times New Roman"/>
          <w:sz w:val="24"/>
          <w:szCs w:val="24"/>
        </w:rPr>
        <w:t xml:space="preserve">Polit, D. F., &amp; Beck, C. T. (2006). The content validity index: Are you sure you know what’s being reported? Critique and recommendations. Research in Nursing &amp; Health, 29(5), 489–497. </w:t>
      </w:r>
    </w:p>
    <w:p w14:paraId="07B73739" w14:textId="77777777" w:rsidR="00C058B7" w:rsidRPr="00C058B7" w:rsidRDefault="00C058B7" w:rsidP="00C058B7">
      <w:pPr>
        <w:pStyle w:val="ListParagraph"/>
        <w:spacing w:after="0" w:line="240" w:lineRule="auto"/>
        <w:jc w:val="both"/>
        <w:rPr>
          <w:rFonts w:ascii="Times New Roman" w:hAnsi="Times New Roman"/>
          <w:sz w:val="24"/>
          <w:szCs w:val="24"/>
        </w:rPr>
      </w:pPr>
      <w:r w:rsidRPr="00C058B7">
        <w:rPr>
          <w:rFonts w:ascii="Times New Roman" w:eastAsia="Times New Roman" w:hAnsi="Times New Roman"/>
          <w:sz w:val="24"/>
          <w:szCs w:val="24"/>
        </w:rPr>
        <w:t>https://doi.org/10.1002/nur.20147</w:t>
      </w:r>
    </w:p>
    <w:p w14:paraId="1ACE3763" w14:textId="77777777" w:rsidR="00C058B7" w:rsidRPr="00C058B7" w:rsidRDefault="00C058B7" w:rsidP="00C058B7">
      <w:pPr>
        <w:pStyle w:val="ListParagraph"/>
        <w:numPr>
          <w:ilvl w:val="0"/>
          <w:numId w:val="36"/>
        </w:numPr>
        <w:spacing w:after="0" w:line="240" w:lineRule="auto"/>
        <w:jc w:val="both"/>
        <w:rPr>
          <w:rFonts w:ascii="Times New Roman" w:hAnsi="Times New Roman"/>
          <w:sz w:val="24"/>
          <w:szCs w:val="24"/>
        </w:rPr>
      </w:pPr>
      <w:r w:rsidRPr="00C058B7">
        <w:rPr>
          <w:rFonts w:ascii="Times New Roman" w:eastAsia="Times New Roman" w:hAnsi="Times New Roman"/>
          <w:sz w:val="24"/>
          <w:szCs w:val="24"/>
        </w:rPr>
        <w:t xml:space="preserve">Roche, E., Richardson, N., Sweeney, J., &amp; O'Donnell, S. (2024). Workplace interventions targeting mental health literacy, stigma, help-seeking, and help-offering in male-dominated industries: A systematic review. American Journal of Men's Health, 18(2). </w:t>
      </w:r>
    </w:p>
    <w:p w14:paraId="742F94D9" w14:textId="77777777" w:rsidR="00C058B7" w:rsidRPr="00C058B7" w:rsidRDefault="00C058B7" w:rsidP="00C058B7">
      <w:pPr>
        <w:pStyle w:val="ListParagraph"/>
        <w:spacing w:after="0" w:line="240" w:lineRule="auto"/>
        <w:jc w:val="both"/>
        <w:rPr>
          <w:rFonts w:ascii="Times New Roman" w:hAnsi="Times New Roman"/>
          <w:sz w:val="24"/>
          <w:szCs w:val="24"/>
        </w:rPr>
      </w:pPr>
      <w:r w:rsidRPr="00C058B7">
        <w:rPr>
          <w:rFonts w:ascii="Times New Roman" w:eastAsia="Times New Roman" w:hAnsi="Times New Roman"/>
          <w:sz w:val="24"/>
          <w:szCs w:val="24"/>
        </w:rPr>
        <w:t>https://doi.org/10.1177/15579883241236223</w:t>
      </w:r>
    </w:p>
    <w:p w14:paraId="606E3866" w14:textId="77777777" w:rsidR="00C058B7" w:rsidRPr="00C058B7" w:rsidRDefault="00C058B7" w:rsidP="00C058B7">
      <w:pPr>
        <w:pStyle w:val="ListParagraph"/>
        <w:numPr>
          <w:ilvl w:val="0"/>
          <w:numId w:val="36"/>
        </w:numPr>
        <w:spacing w:after="0" w:line="240" w:lineRule="auto"/>
        <w:jc w:val="both"/>
        <w:rPr>
          <w:rFonts w:ascii="Times New Roman" w:hAnsi="Times New Roman"/>
          <w:sz w:val="24"/>
          <w:szCs w:val="24"/>
        </w:rPr>
      </w:pPr>
      <w:r w:rsidRPr="00C058B7">
        <w:rPr>
          <w:rFonts w:ascii="Times New Roman" w:eastAsia="Times New Roman" w:hAnsi="Times New Roman"/>
          <w:sz w:val="24"/>
          <w:szCs w:val="24"/>
        </w:rPr>
        <w:t>Schilling, L. S., Dixon, J. K., Knafl, K. A., Grey, M., Ives, B., &amp; Lynn, M. R. (2007). Determining content validity of a self-report instrument for adolescents using a heterogeneous expert panel. Nursing Research, 56(5), 361–366. https://doi.org/10.1097/01.NNR.0000289505.30037.91</w:t>
      </w:r>
    </w:p>
    <w:p w14:paraId="7F768CB9" w14:textId="77777777" w:rsidR="00C058B7" w:rsidRPr="00C058B7" w:rsidRDefault="00C058B7" w:rsidP="00C058B7">
      <w:pPr>
        <w:pStyle w:val="ListParagraph"/>
        <w:numPr>
          <w:ilvl w:val="0"/>
          <w:numId w:val="36"/>
        </w:numPr>
        <w:spacing w:after="0" w:line="240" w:lineRule="auto"/>
        <w:jc w:val="both"/>
        <w:rPr>
          <w:rFonts w:ascii="Times New Roman" w:hAnsi="Times New Roman"/>
          <w:sz w:val="24"/>
          <w:szCs w:val="24"/>
        </w:rPr>
      </w:pPr>
      <w:r w:rsidRPr="00C058B7">
        <w:rPr>
          <w:rFonts w:ascii="Times New Roman" w:eastAsia="Times New Roman" w:hAnsi="Times New Roman"/>
          <w:sz w:val="24"/>
          <w:szCs w:val="24"/>
        </w:rPr>
        <w:t>Terwee, C. B., Prinsen, C. A. C., Chiarotto, A., Westerman, M. J., Patrick, D. L., Alonso, J., Bouter, L. M., de Vet, H. C. W., &amp; Mokkink, L. B. (2018). COSMIN methodology for evaluating the content validity of patient-reported outcome measures: A Delphi study. Quality of Life Research, 27(5), 1159–1170. https://doi.org/10.1007/s11136-018-1829-0</w:t>
      </w:r>
    </w:p>
    <w:p w14:paraId="02019616" w14:textId="77777777" w:rsidR="00C058B7" w:rsidRPr="00C058B7" w:rsidRDefault="00C058B7" w:rsidP="00C058B7">
      <w:pPr>
        <w:pStyle w:val="ListParagraph"/>
        <w:numPr>
          <w:ilvl w:val="0"/>
          <w:numId w:val="36"/>
        </w:numPr>
        <w:spacing w:after="0" w:line="240" w:lineRule="auto"/>
        <w:jc w:val="both"/>
        <w:rPr>
          <w:rFonts w:ascii="Times New Roman" w:hAnsi="Times New Roman"/>
          <w:sz w:val="24"/>
          <w:szCs w:val="24"/>
        </w:rPr>
      </w:pPr>
      <w:r w:rsidRPr="00C058B7">
        <w:rPr>
          <w:rFonts w:ascii="Times New Roman" w:eastAsia="Times New Roman" w:hAnsi="Times New Roman"/>
          <w:sz w:val="24"/>
          <w:szCs w:val="24"/>
        </w:rPr>
        <w:t>World Health Organization. (2020). WHO Special Initiative for Mental Health: Zimbabwe country report. World Health Organization.</w:t>
      </w:r>
    </w:p>
    <w:p w14:paraId="11E78DA8" w14:textId="77777777" w:rsidR="00C058B7" w:rsidRPr="00C058B7" w:rsidRDefault="00C058B7" w:rsidP="00C058B7">
      <w:pPr>
        <w:pStyle w:val="ListParagraph"/>
        <w:numPr>
          <w:ilvl w:val="0"/>
          <w:numId w:val="36"/>
        </w:numPr>
        <w:spacing w:after="0" w:line="240" w:lineRule="auto"/>
        <w:jc w:val="both"/>
        <w:rPr>
          <w:rFonts w:ascii="Times New Roman" w:hAnsi="Times New Roman"/>
          <w:sz w:val="24"/>
          <w:szCs w:val="24"/>
        </w:rPr>
      </w:pPr>
      <w:r w:rsidRPr="00C058B7">
        <w:rPr>
          <w:rFonts w:ascii="Times New Roman" w:eastAsia="Times New Roman" w:hAnsi="Times New Roman"/>
          <w:sz w:val="24"/>
          <w:szCs w:val="24"/>
        </w:rPr>
        <w:t>World Health Organization. (2022). WHO guidelines on mental health at work. World Health Organization.</w:t>
      </w:r>
    </w:p>
    <w:p w14:paraId="7B321A55" w14:textId="77777777" w:rsidR="00624847" w:rsidRPr="00C058B7" w:rsidRDefault="00624847" w:rsidP="00C058B7">
      <w:pPr>
        <w:spacing w:after="0" w:line="240" w:lineRule="auto"/>
        <w:jc w:val="both"/>
        <w:rPr>
          <w:rFonts w:ascii="Times New Roman" w:hAnsi="Times New Roman"/>
          <w:sz w:val="24"/>
          <w:szCs w:val="24"/>
        </w:rPr>
      </w:pPr>
    </w:p>
    <w:sectPr w:rsidR="00624847" w:rsidRPr="00C058B7" w:rsidSect="0099554F">
      <w:headerReference w:type="default" r:id="rId9"/>
      <w:footerReference w:type="default" r:id="rId10"/>
      <w:pgSz w:w="11907" w:h="16840" w:code="9"/>
      <w:pgMar w:top="1094" w:right="607" w:bottom="607" w:left="607" w:header="346" w:footer="403" w:gutter="0"/>
      <w:pgNumType w:start="4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1F4E9" w14:textId="77777777" w:rsidR="00B9338C" w:rsidRDefault="00B9338C" w:rsidP="00D15D21">
      <w:pPr>
        <w:spacing w:after="0" w:line="240" w:lineRule="auto"/>
      </w:pPr>
      <w:r>
        <w:separator/>
      </w:r>
    </w:p>
  </w:endnote>
  <w:endnote w:type="continuationSeparator" w:id="0">
    <w:p w14:paraId="38CD1F68" w14:textId="77777777" w:rsidR="00B9338C" w:rsidRDefault="00B9338C" w:rsidP="00D15D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utch801 Rm BT">
    <w:altName w:val="Cambria"/>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AppleSystemUIFont">
    <w:altName w:val="Cambria"/>
    <w:charset w:val="00"/>
    <w:family w:val="roman"/>
    <w:pitch w:val="default"/>
  </w:font>
  <w:font w:name="UICTFontTextStyleBody">
    <w:altName w:val="Cambria"/>
    <w:charset w:val="00"/>
    <w:family w:val="roman"/>
    <w:pitch w:val="default"/>
  </w:font>
  <w:font w:name="MS Mincho">
    <w:altName w:val="ＭＳ 明朝"/>
    <w:panose1 w:val="02020609040205080304"/>
    <w:charset w:val="80"/>
    <w:family w:val="modern"/>
    <w:pitch w:val="fixed"/>
    <w:sig w:usb0="A00002BF" w:usb1="68C7FCFB" w:usb2="00000010"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2870A" w14:textId="77777777" w:rsidR="008C3C71" w:rsidRPr="007050CA" w:rsidRDefault="00000000" w:rsidP="00C666F3">
    <w:pPr>
      <w:tabs>
        <w:tab w:val="center" w:pos="4680"/>
        <w:tab w:val="left" w:pos="8980"/>
        <w:tab w:val="right" w:pos="9360"/>
        <w:tab w:val="right" w:pos="10696"/>
      </w:tabs>
      <w:spacing w:after="0"/>
    </w:pPr>
    <w:r>
      <w:rPr>
        <w:noProof/>
      </w:rPr>
      <w:pict w14:anchorId="57FB1853">
        <v:shapetype id="_x0000_t202" coordsize="21600,21600" o:spt="202" path="m,l,21600r21600,l21600,xe">
          <v:stroke joinstyle="miter"/>
          <v:path gradientshapeok="t" o:connecttype="rect"/>
        </v:shapetype>
        <v:shape id="Text Box 5" o:spid="_x0000_s1030" type="#_x0000_t202" style="position:absolute;margin-left:9pt;margin-top:816.75pt;width:129pt;height:29.3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" filled="f" stroked="f">
          <v:textbox style="mso-next-textbox:#Text Box 5" inset="0,0,0,0">
            <w:txbxContent>
              <w:p w14:paraId="76900003" w14:textId="77777777" w:rsidR="008C3C71" w:rsidRPr="00C1330E" w:rsidRDefault="008C3C71" w:rsidP="006B5EF2">
                <w:pPr>
                  <w:jc w:val="center"/>
                  <w:rPr>
                    <w:rFonts w:ascii="Times New Roman" w:hAnsi="Times New Roman"/>
                    <w:b/>
                    <w:color w:val="2F5496" w:themeColor="accent1" w:themeShade="BF"/>
                  </w:rPr>
                </w:pPr>
                <w:r w:rsidRPr="00C1330E">
                  <w:rPr>
                    <w:rFonts w:ascii="Times New Roman" w:hAnsi="Times New Roman"/>
                    <w:b/>
                    <w:color w:val="2F5496" w:themeColor="accent1" w:themeShade="BF"/>
                    <w:sz w:val="20"/>
                  </w:rPr>
                  <w:t>www.jamsjournals.org</w:t>
                </w:r>
              </w:p>
              <w:p w14:paraId="0D5D618A" w14:textId="77777777" w:rsidR="008C3C71" w:rsidRPr="00C1330E" w:rsidRDefault="008C3C71" w:rsidP="006B5EF2">
                <w:pPr>
                  <w:rPr>
                    <w:b/>
                    <w:color w:val="2F5496" w:themeColor="accent1" w:themeShade="BF"/>
                    <w:szCs w:val="20"/>
                  </w:rPr>
                </w:pPr>
              </w:p>
              <w:p w14:paraId="527394B8" w14:textId="77777777" w:rsidR="008C3C71" w:rsidRPr="00C1330E" w:rsidRDefault="008C3C71" w:rsidP="006B5EF2">
                <w:pPr>
                  <w:rPr>
                    <w:b/>
                    <w:color w:val="2F5496" w:themeColor="accent1" w:themeShade="BF"/>
                  </w:rPr>
                </w:pPr>
              </w:p>
            </w:txbxContent>
          </v:textbox>
          <w10:wrap anchorx="page" anchory="page"/>
        </v:shape>
      </w:pict>
    </w:r>
    <w:r>
      <w:rPr>
        <w:noProof/>
      </w:rPr>
      <w:pict w14:anchorId="56E10A02">
        <v:shape id="Text Box 3" o:spid="_x0000_s1028" type="#_x0000_t202" style="position:absolute;margin-left:456pt;margin-top:812.85pt;width:130.5pt;height:17.5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" filled="f" stroked="f">
          <v:textbox style="mso-next-textbox:#Text Box 3" inset="0,0,0,0">
            <w:txbxContent>
              <w:p w14:paraId="74CAA7CA" w14:textId="77777777" w:rsidR="008C3C71" w:rsidRPr="00C1330E" w:rsidRDefault="008C3C71" w:rsidP="001B6423">
                <w:pPr>
                  <w:jc w:val="center"/>
                  <w:rPr>
                    <w:rFonts w:ascii="Times New Roman" w:hAnsi="Times New Roman"/>
                    <w:b/>
                    <w:color w:val="2F5496" w:themeColor="accent1" w:themeShade="BF"/>
                    <w:sz w:val="20"/>
                  </w:rPr>
                </w:pPr>
                <w:r w:rsidRPr="00C1330E">
                  <w:rPr>
                    <w:rFonts w:ascii="Times New Roman" w:hAnsi="Times New Roman"/>
                    <w:b/>
                    <w:color w:val="2F5496" w:themeColor="accent1" w:themeShade="BF"/>
                    <w:sz w:val="20"/>
                  </w:rPr>
                  <w:t xml:space="preserve">                      Page </w:t>
                </w:r>
                <w:r w:rsidR="004118BB" w:rsidRPr="00C1330E">
                  <w:rPr>
                    <w:rFonts w:ascii="Times New Roman" w:hAnsi="Times New Roman"/>
                    <w:b/>
                    <w:color w:val="2F5496" w:themeColor="accent1" w:themeShade="BF"/>
                    <w:sz w:val="20"/>
                  </w:rPr>
                  <w:fldChar w:fldCharType="begin"/>
                </w:r>
                <w:r w:rsidRPr="00C1330E">
                  <w:rPr>
                    <w:rFonts w:ascii="Times New Roman" w:hAnsi="Times New Roman"/>
                    <w:b/>
                    <w:color w:val="2F5496" w:themeColor="accent1" w:themeShade="BF"/>
                    <w:sz w:val="20"/>
                  </w:rPr>
                  <w:instrText xml:space="preserve"> PAGE </w:instrText>
                </w:r>
                <w:r w:rsidR="004118BB" w:rsidRPr="00C1330E">
                  <w:rPr>
                    <w:rFonts w:ascii="Times New Roman" w:hAnsi="Times New Roman"/>
                    <w:b/>
                    <w:color w:val="2F5496" w:themeColor="accent1" w:themeShade="BF"/>
                    <w:sz w:val="20"/>
                  </w:rPr>
                  <w:fldChar w:fldCharType="separate"/>
                </w:r>
                <w:r w:rsidR="0099554F">
                  <w:rPr>
                    <w:rFonts w:ascii="Times New Roman" w:hAnsi="Times New Roman"/>
                    <w:b/>
                    <w:noProof/>
                    <w:color w:val="2F5496" w:themeColor="accent1" w:themeShade="BF"/>
                    <w:sz w:val="20"/>
                  </w:rPr>
                  <w:t>69</w:t>
                </w:r>
                <w:r w:rsidR="004118BB" w:rsidRPr="00C1330E">
                  <w:rPr>
                    <w:rFonts w:ascii="Times New Roman" w:hAnsi="Times New Roman"/>
                    <w:b/>
                    <w:color w:val="2F5496" w:themeColor="accent1" w:themeShade="BF"/>
                    <w:sz w:val="20"/>
                  </w:rPr>
                  <w:fldChar w:fldCharType="end"/>
                </w:r>
              </w:p>
            </w:txbxContent>
          </v:textbox>
          <w10:wrap anchorx="page" anchory="page"/>
        </v:shape>
      </w:pict>
    </w:r>
    <w:r>
      <w:rPr>
        <w:noProof/>
      </w:rPr>
      <w:pict w14:anchorId="1249D11C">
        <v:rect id="Rectangle 1" o:spid="_x0000_s1029" style="position:absolute;margin-left:33.75pt;margin-top:808.2pt;width:525.3pt;height:1.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" fillcolor="gray" stroked="f">
          <w10:wrap anchorx="page" anchory="page"/>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D79DF" w14:textId="77777777" w:rsidR="00B9338C" w:rsidRDefault="00B9338C" w:rsidP="00D15D21">
      <w:pPr>
        <w:spacing w:after="0" w:line="240" w:lineRule="auto"/>
      </w:pPr>
      <w:r>
        <w:separator/>
      </w:r>
    </w:p>
  </w:footnote>
  <w:footnote w:type="continuationSeparator" w:id="0">
    <w:p w14:paraId="4EB6EB58" w14:textId="77777777" w:rsidR="00B9338C" w:rsidRDefault="00B9338C" w:rsidP="00D15D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1302D" w14:textId="77777777" w:rsidR="008C3C71" w:rsidRDefault="008C3C71" w:rsidP="004D21DD">
    <w:pPr>
      <w:widowControl w:val="0"/>
      <w:tabs>
        <w:tab w:val="center" w:pos="5346"/>
      </w:tabs>
      <w:autoSpaceDE w:val="0"/>
      <w:autoSpaceDN w:val="0"/>
      <w:spacing w:after="0"/>
      <w:jc w:val="both"/>
      <w:rPr>
        <w:rFonts w:ascii="Times New Roman" w:eastAsia="Aptos" w:hAnsi="Times New Roman"/>
        <w:kern w:val="1"/>
        <w:sz w:val="20"/>
        <w:szCs w:val="20"/>
        <w:lang w:eastAsia="en-IN"/>
      </w:rPr>
    </w:pPr>
    <w:r>
      <w:rPr>
        <w:rFonts w:ascii="Times New Roman" w:hAnsi="Times New Roman"/>
        <w:noProof/>
        <w:sz w:val="20"/>
        <w:szCs w:val="20"/>
      </w:rPr>
      <w:drawing>
        <wp:anchor distT="0" distB="0" distL="114300" distR="114300" simplePos="0" relativeHeight="251671552" behindDoc="0" locked="0" layoutInCell="1" allowOverlap="1" wp14:anchorId="0C531D6D" wp14:editId="6B9C9FEF">
          <wp:simplePos x="0" y="0"/>
          <wp:positionH relativeFrom="column">
            <wp:posOffset>6034405</wp:posOffset>
          </wp:positionH>
          <wp:positionV relativeFrom="paragraph">
            <wp:posOffset>-172085</wp:posOffset>
          </wp:positionV>
          <wp:extent cx="754380" cy="550545"/>
          <wp:effectExtent l="38100" t="0" r="26670" b="154305"/>
          <wp:wrapTopAndBottom/>
          <wp:docPr id="1" name="Picture 0" descr="JAM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MS.png"/>
                  <pic:cNvPicPr/>
                </pic:nvPicPr>
                <pic:blipFill>
                  <a:blip r:embed="rId1" cstate="print"/>
                  <a:stretch>
                    <a:fillRect/>
                  </a:stretch>
                </pic:blipFill>
                <pic:spPr>
                  <a:xfrm>
                    <a:off x="0" y="0"/>
                    <a:ext cx="754380" cy="55054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00000000">
      <w:rPr>
        <w:rFonts w:ascii="Times New Roman" w:hAnsi="Times New Roman"/>
        <w:noProof/>
        <w:sz w:val="20"/>
        <w:szCs w:val="20"/>
        <w:lang w:eastAsia="en-IN"/>
      </w:rPr>
      <w:pict w14:anchorId="72B07CA5">
        <v:shapetype id="_x0000_t202" coordsize="21600,21600" o:spt="202" path="m,l,21600r21600,l21600,xe">
          <v:stroke joinstyle="miter"/>
          <v:path gradientshapeok="t" o:connecttype="rect"/>
        </v:shapetype>
        <v:shape id="Text Box 1987314916" o:spid="_x0000_s1026" type="#_x0000_t202" style="position:absolute;left:0;text-align:left;margin-left:42pt;margin-top:15.6pt;width:465pt;height:31.5pt;z-index:-251648000;visibility:visible;mso-wrap-distance-left:0;mso-wrap-distance-right:0;mso-position-horizontal-relative:page;mso-position-vertical-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" filled="f" stroked="f">
          <v:textbox style="mso-next-textbox:#Text Box 1987314916" inset="0,0,0,0">
            <w:txbxContent>
              <w:p w14:paraId="69CE258C" w14:textId="77777777" w:rsidR="008C3C71" w:rsidRPr="001B6423" w:rsidRDefault="008C3C71" w:rsidP="001B6423">
                <w:pPr>
                  <w:jc w:val="center"/>
                  <w:rPr>
                    <w:rFonts w:ascii="Times New Roman" w:hAnsi="Times New Roman"/>
                    <w:sz w:val="24"/>
                    <w:szCs w:val="24"/>
                  </w:rPr>
                </w:pPr>
                <w:r w:rsidRPr="001B6423">
                  <w:rPr>
                    <w:rFonts w:ascii="Times New Roman" w:hAnsi="Times New Roman"/>
                    <w:b/>
                    <w:bCs/>
                    <w:color w:val="1F3864" w:themeColor="accent1" w:themeShade="80"/>
                    <w:sz w:val="24"/>
                    <w:szCs w:val="20"/>
                  </w:rPr>
                  <w:t xml:space="preserve">JOURNAL OF ADVANCED MULTIDISCIPLINARY STUDIES </w:t>
                </w:r>
                <w:r w:rsidRPr="001B6423">
                  <w:rPr>
                    <w:rFonts w:ascii="Times New Roman" w:hAnsi="Times New Roman"/>
                    <w:b/>
                    <w:color w:val="1F3864" w:themeColor="accent1" w:themeShade="80"/>
                    <w:sz w:val="24"/>
                    <w:szCs w:val="20"/>
                  </w:rPr>
                  <w:t>(JAMS)</w:t>
                </w:r>
                <w:r w:rsidRPr="001B6423">
                  <w:rPr>
                    <w:rFonts w:ascii="Times New Roman" w:hAnsi="Times New Roman"/>
                    <w:b/>
                    <w:bCs/>
                    <w:color w:val="1F3864" w:themeColor="accent1" w:themeShade="80"/>
                    <w:sz w:val="24"/>
                    <w:szCs w:val="20"/>
                  </w:rPr>
                  <w:t xml:space="preserve">                                                                     </w:t>
                </w:r>
                <w:r w:rsidRPr="001B6423">
                  <w:rPr>
                    <w:rFonts w:ascii="Times New Roman" w:hAnsi="Times New Roman"/>
                    <w:b/>
                    <w:color w:val="2F5496" w:themeColor="accent1" w:themeShade="BF"/>
                    <w:sz w:val="24"/>
                    <w:szCs w:val="24"/>
                  </w:rPr>
                  <w:t>JAMS |</w:t>
                </w:r>
                <w:r w:rsidR="00B00FCC" w:rsidRPr="00B00FCC">
                  <w:rPr>
                    <w:rFonts w:ascii="Times New Roman" w:hAnsi="Times New Roman"/>
                    <w:b/>
                    <w:color w:val="2F5496" w:themeColor="accent1" w:themeShade="BF"/>
                    <w:sz w:val="24"/>
                    <w:szCs w:val="24"/>
                  </w:rPr>
                  <w:t xml:space="preserve"> </w:t>
                </w:r>
                <w:r w:rsidR="00B00FCC">
                  <w:rPr>
                    <w:rFonts w:ascii="Times New Roman" w:hAnsi="Times New Roman"/>
                    <w:b/>
                    <w:color w:val="2F5496" w:themeColor="accent1" w:themeShade="BF"/>
                    <w:sz w:val="24"/>
                    <w:szCs w:val="24"/>
                  </w:rPr>
                  <w:t>Autumn Conference</w:t>
                </w:r>
                <w:r w:rsidRPr="001B6423">
                  <w:rPr>
                    <w:rFonts w:ascii="Times New Roman" w:hAnsi="Times New Roman"/>
                    <w:b/>
                    <w:color w:val="2F5496" w:themeColor="accent1" w:themeShade="BF"/>
                    <w:sz w:val="24"/>
                    <w:szCs w:val="24"/>
                  </w:rPr>
                  <w:t xml:space="preserve"> </w:t>
                </w:r>
                <w:r>
                  <w:rPr>
                    <w:rFonts w:ascii="Times New Roman" w:hAnsi="Times New Roman"/>
                    <w:b/>
                    <w:color w:val="2F5496" w:themeColor="accent1" w:themeShade="BF"/>
                    <w:sz w:val="24"/>
                    <w:szCs w:val="24"/>
                  </w:rPr>
                  <w:t>September</w:t>
                </w:r>
                <w:r w:rsidRPr="001B6423">
                  <w:rPr>
                    <w:rFonts w:ascii="Times New Roman" w:hAnsi="Times New Roman"/>
                    <w:b/>
                    <w:color w:val="2F5496" w:themeColor="accent1" w:themeShade="BF"/>
                    <w:sz w:val="24"/>
                    <w:szCs w:val="24"/>
                  </w:rPr>
                  <w:t xml:space="preserve"> 2026</w:t>
                </w:r>
                <w:r>
                  <w:rPr>
                    <w:rFonts w:ascii="Times New Roman" w:hAnsi="Times New Roman"/>
                    <w:b/>
                    <w:color w:val="2F5496" w:themeColor="accent1" w:themeShade="BF"/>
                    <w:sz w:val="24"/>
                    <w:szCs w:val="24"/>
                  </w:rPr>
                  <w:t xml:space="preserve">| DOI: 10.68050/JAMS </w:t>
                </w:r>
              </w:p>
              <w:p w14:paraId="24834C25" w14:textId="77777777" w:rsidR="008C3C71" w:rsidRPr="006B5EF2" w:rsidRDefault="008C3C71" w:rsidP="001B6423">
                <w:pPr>
                  <w:jc w:val="center"/>
                  <w:rPr>
                    <w:rFonts w:ascii="Times New Roman" w:hAnsi="Times New Roman"/>
                    <w:sz w:val="20"/>
                    <w:szCs w:val="20"/>
                  </w:rPr>
                </w:pPr>
              </w:p>
            </w:txbxContent>
          </v:textbox>
          <w10:wrap anchorx="page" anchory="page"/>
        </v:shape>
      </w:pict>
    </w:r>
  </w:p>
  <w:p w14:paraId="6C820484" w14:textId="77777777" w:rsidR="008C3C71" w:rsidRPr="00E67DAA" w:rsidRDefault="008C3C71" w:rsidP="004D21DD">
    <w:pPr>
      <w:widowControl w:val="0"/>
      <w:tabs>
        <w:tab w:val="center" w:pos="5346"/>
      </w:tabs>
      <w:autoSpaceDE w:val="0"/>
      <w:autoSpaceDN w:val="0"/>
      <w:spacing w:after="0"/>
      <w:jc w:val="both"/>
      <w:rPr>
        <w:rFonts w:ascii="Times New Roman" w:eastAsia="Aptos" w:hAnsi="Times New Roman"/>
        <w:kern w:val="1"/>
        <w:sz w:val="20"/>
        <w:szCs w:val="20"/>
        <w:lang w:eastAsia="en-IN"/>
      </w:rPr>
    </w:pPr>
  </w:p>
  <w:p w14:paraId="52F42873" w14:textId="77777777" w:rsidR="008C3C71" w:rsidRPr="00E67DAA" w:rsidRDefault="00000000" w:rsidP="004D21DD">
    <w:pPr>
      <w:widowControl w:val="0"/>
      <w:tabs>
        <w:tab w:val="center" w:pos="4680"/>
        <w:tab w:val="right" w:pos="9360"/>
      </w:tabs>
      <w:autoSpaceDE w:val="0"/>
      <w:autoSpaceDN w:val="0"/>
      <w:spacing w:after="0"/>
      <w:rPr>
        <w:rFonts w:ascii="Times New Roman" w:eastAsia="Aptos" w:hAnsi="Times New Roman"/>
        <w:kern w:val="1"/>
        <w:sz w:val="20"/>
        <w:szCs w:val="20"/>
        <w:lang w:eastAsia="en-IN"/>
      </w:rPr>
    </w:pPr>
    <w:r>
      <w:rPr>
        <w:rFonts w:ascii="Times New Roman" w:hAnsi="Times New Roman"/>
        <w:noProof/>
        <w:sz w:val="20"/>
        <w:szCs w:val="20"/>
        <w:lang w:eastAsia="en-IN"/>
      </w:rPr>
    </w:r>
    <w:r>
      <w:rPr>
        <w:rFonts w:ascii="Times New Roman" w:hAnsi="Times New Roman"/>
        <w:noProof/>
        <w:sz w:val="20"/>
        <w:szCs w:val="20"/>
        <w:lang w:eastAsia="en-IN"/>
      </w:rPr>
      <w:pict w14:anchorId="6E2CC36D">
        <v:group id="Group 406503008" o:spid="_x0000_s1032" style="width:532.8pt;height:1.5pt;mso-position-horizontal-relative:char;mso-position-vertical-relative:line" coordsize="66713,190">
          <v:shape id="Graphic 7" o:spid="_x0000_s1027" style="position:absolute;width:66713;height:190;visibility:visible;mso-wrap-style:square;v-text-anchor:top" coordsize="6671309,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" path="m6671056,l,,,19050r6671056,l6671056,xe" fillcolor="gray" stroked="f">
            <v:path arrowok="t" o:connecttype="custom" o:connectlocs="66710,0;0,0;0,190;66710,190;66710,0" o:connectangles="0,0,0,0,0"/>
          </v:shape>
          <w10:wrap type="none"/>
          <w10:anchorlock/>
        </v:group>
      </w:pict>
    </w:r>
    <w:r>
      <w:rPr>
        <w:rFonts w:ascii="Times New Roman" w:hAnsi="Times New Roman"/>
        <w:noProof/>
        <w:sz w:val="20"/>
        <w:szCs w:val="20"/>
        <w:lang w:eastAsia="en-IN"/>
      </w:rPr>
      <w:pict w14:anchorId="4652224F">
        <v:rect id="Rectangle 966467482" o:spid="_x0000_s1031" style="position:absolute;margin-left:33.75pt;margin-top:808.2pt;width:525.3pt;height:1.5pt;z-index:-2516469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" fillcolor="gray" stroked="f">
          <w10:wrap anchorx="page" anchory="page"/>
        </v:rec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5326F6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A99411"/>
    <w:multiLevelType w:val="multilevel"/>
    <w:tmpl w:val="68363B4E"/>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 w15:restartNumberingAfterBreak="0">
    <w:nsid w:val="0B903E20"/>
    <w:multiLevelType w:val="multilevel"/>
    <w:tmpl w:val="13E0E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5202C3"/>
    <w:multiLevelType w:val="multilevel"/>
    <w:tmpl w:val="6234D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DD39A7"/>
    <w:multiLevelType w:val="hybridMultilevel"/>
    <w:tmpl w:val="D750A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DC2413"/>
    <w:multiLevelType w:val="multilevel"/>
    <w:tmpl w:val="353E1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181792"/>
    <w:multiLevelType w:val="multilevel"/>
    <w:tmpl w:val="E95E5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E46E7A"/>
    <w:multiLevelType w:val="hybridMultilevel"/>
    <w:tmpl w:val="21E0E356"/>
    <w:lvl w:ilvl="0" w:tplc="69345220">
      <w:start w:val="1"/>
      <w:numFmt w:val="decimal"/>
      <w:lvlText w:val="%1."/>
      <w:lvlJc w:val="left"/>
      <w:pPr>
        <w:ind w:left="1770" w:hanging="360"/>
      </w:pPr>
      <w:rPr>
        <w:rFonts w:hint="default"/>
      </w:rPr>
    </w:lvl>
    <w:lvl w:ilvl="1" w:tplc="04090019" w:tentative="1">
      <w:start w:val="1"/>
      <w:numFmt w:val="lowerLetter"/>
      <w:lvlText w:val="%2."/>
      <w:lvlJc w:val="left"/>
      <w:pPr>
        <w:ind w:left="2490" w:hanging="360"/>
      </w:pPr>
    </w:lvl>
    <w:lvl w:ilvl="2" w:tplc="0409001B" w:tentative="1">
      <w:start w:val="1"/>
      <w:numFmt w:val="lowerRoman"/>
      <w:lvlText w:val="%3."/>
      <w:lvlJc w:val="right"/>
      <w:pPr>
        <w:ind w:left="3210" w:hanging="180"/>
      </w:pPr>
    </w:lvl>
    <w:lvl w:ilvl="3" w:tplc="0409000F" w:tentative="1">
      <w:start w:val="1"/>
      <w:numFmt w:val="decimal"/>
      <w:lvlText w:val="%4."/>
      <w:lvlJc w:val="left"/>
      <w:pPr>
        <w:ind w:left="3930" w:hanging="360"/>
      </w:pPr>
    </w:lvl>
    <w:lvl w:ilvl="4" w:tplc="04090019" w:tentative="1">
      <w:start w:val="1"/>
      <w:numFmt w:val="lowerLetter"/>
      <w:lvlText w:val="%5."/>
      <w:lvlJc w:val="left"/>
      <w:pPr>
        <w:ind w:left="4650" w:hanging="360"/>
      </w:pPr>
    </w:lvl>
    <w:lvl w:ilvl="5" w:tplc="0409001B" w:tentative="1">
      <w:start w:val="1"/>
      <w:numFmt w:val="lowerRoman"/>
      <w:lvlText w:val="%6."/>
      <w:lvlJc w:val="right"/>
      <w:pPr>
        <w:ind w:left="5370" w:hanging="180"/>
      </w:pPr>
    </w:lvl>
    <w:lvl w:ilvl="6" w:tplc="0409000F" w:tentative="1">
      <w:start w:val="1"/>
      <w:numFmt w:val="decimal"/>
      <w:lvlText w:val="%7."/>
      <w:lvlJc w:val="left"/>
      <w:pPr>
        <w:ind w:left="6090" w:hanging="360"/>
      </w:pPr>
    </w:lvl>
    <w:lvl w:ilvl="7" w:tplc="04090019" w:tentative="1">
      <w:start w:val="1"/>
      <w:numFmt w:val="lowerLetter"/>
      <w:lvlText w:val="%8."/>
      <w:lvlJc w:val="left"/>
      <w:pPr>
        <w:ind w:left="6810" w:hanging="360"/>
      </w:pPr>
    </w:lvl>
    <w:lvl w:ilvl="8" w:tplc="0409001B" w:tentative="1">
      <w:start w:val="1"/>
      <w:numFmt w:val="lowerRoman"/>
      <w:lvlText w:val="%9."/>
      <w:lvlJc w:val="right"/>
      <w:pPr>
        <w:ind w:left="7530" w:hanging="180"/>
      </w:pPr>
    </w:lvl>
  </w:abstractNum>
  <w:abstractNum w:abstractNumId="8" w15:restartNumberingAfterBreak="0">
    <w:nsid w:val="1B7757ED"/>
    <w:multiLevelType w:val="hybridMultilevel"/>
    <w:tmpl w:val="46E4FE66"/>
    <w:lvl w:ilvl="0" w:tplc="4FE0C4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A5327A"/>
    <w:multiLevelType w:val="hybridMultilevel"/>
    <w:tmpl w:val="A880E6B6"/>
    <w:lvl w:ilvl="0" w:tplc="2E68D360">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15:restartNumberingAfterBreak="0">
    <w:nsid w:val="1C743C2E"/>
    <w:multiLevelType w:val="multilevel"/>
    <w:tmpl w:val="C1569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6141F4"/>
    <w:multiLevelType w:val="multilevel"/>
    <w:tmpl w:val="E572F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BE27BF"/>
    <w:multiLevelType w:val="multilevel"/>
    <w:tmpl w:val="1A662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BD34A5"/>
    <w:multiLevelType w:val="multilevel"/>
    <w:tmpl w:val="A6DCC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D0138B"/>
    <w:multiLevelType w:val="multilevel"/>
    <w:tmpl w:val="D5D27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850026"/>
    <w:multiLevelType w:val="multilevel"/>
    <w:tmpl w:val="9B686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F45B3E"/>
    <w:multiLevelType w:val="hybridMultilevel"/>
    <w:tmpl w:val="43BA91D6"/>
    <w:lvl w:ilvl="0" w:tplc="56685EE8">
      <w:start w:val="1"/>
      <w:numFmt w:val="low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83D3EFF"/>
    <w:multiLevelType w:val="hybridMultilevel"/>
    <w:tmpl w:val="160C29F4"/>
    <w:lvl w:ilvl="0" w:tplc="EBD28C00">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A036A9"/>
    <w:multiLevelType w:val="multilevel"/>
    <w:tmpl w:val="61765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2B3E1F"/>
    <w:multiLevelType w:val="multilevel"/>
    <w:tmpl w:val="E87C8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2C5978"/>
    <w:multiLevelType w:val="hybridMultilevel"/>
    <w:tmpl w:val="B3F0846A"/>
    <w:lvl w:ilvl="0" w:tplc="82E06C44">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8B01A2"/>
    <w:multiLevelType w:val="multilevel"/>
    <w:tmpl w:val="82080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0C1491"/>
    <w:multiLevelType w:val="multilevel"/>
    <w:tmpl w:val="50FAE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022DF9"/>
    <w:multiLevelType w:val="hybridMultilevel"/>
    <w:tmpl w:val="C1208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D578D4"/>
    <w:multiLevelType w:val="multilevel"/>
    <w:tmpl w:val="65061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AA7B6A"/>
    <w:multiLevelType w:val="multilevel"/>
    <w:tmpl w:val="A3687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D47B88"/>
    <w:multiLevelType w:val="hybridMultilevel"/>
    <w:tmpl w:val="E88246E2"/>
    <w:lvl w:ilvl="0" w:tplc="82E06C44">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15715E9"/>
    <w:multiLevelType w:val="hybridMultilevel"/>
    <w:tmpl w:val="AA0E47EE"/>
    <w:lvl w:ilvl="0" w:tplc="29C0387E">
      <w:start w:val="1"/>
      <w:numFmt w:val="lowerRoman"/>
      <w:lvlText w:val="(%1)"/>
      <w:lvlJc w:val="left"/>
      <w:pPr>
        <w:ind w:left="2160" w:hanging="108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4154FEB"/>
    <w:multiLevelType w:val="hybridMultilevel"/>
    <w:tmpl w:val="709EFB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4C8242E"/>
    <w:multiLevelType w:val="multilevel"/>
    <w:tmpl w:val="4F70F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E80C2A"/>
    <w:multiLevelType w:val="multilevel"/>
    <w:tmpl w:val="C92E9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E17B86"/>
    <w:multiLevelType w:val="hybridMultilevel"/>
    <w:tmpl w:val="533822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7549FA"/>
    <w:multiLevelType w:val="hybridMultilevel"/>
    <w:tmpl w:val="5AD64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133FE5"/>
    <w:multiLevelType w:val="hybridMultilevel"/>
    <w:tmpl w:val="12EE94AA"/>
    <w:lvl w:ilvl="0" w:tplc="EBD28C00">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8797AC6"/>
    <w:multiLevelType w:val="hybridMultilevel"/>
    <w:tmpl w:val="C228273A"/>
    <w:lvl w:ilvl="0" w:tplc="EBD28C00">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6640009">
    <w:abstractNumId w:val="14"/>
  </w:num>
  <w:num w:numId="2" w16cid:durableId="1887642746">
    <w:abstractNumId w:val="29"/>
  </w:num>
  <w:num w:numId="3" w16cid:durableId="2088527963">
    <w:abstractNumId w:val="21"/>
  </w:num>
  <w:num w:numId="4" w16cid:durableId="289631106">
    <w:abstractNumId w:val="15"/>
  </w:num>
  <w:num w:numId="5" w16cid:durableId="1128402137">
    <w:abstractNumId w:val="5"/>
  </w:num>
  <w:num w:numId="6" w16cid:durableId="883907426">
    <w:abstractNumId w:val="10"/>
  </w:num>
  <w:num w:numId="7" w16cid:durableId="815073315">
    <w:abstractNumId w:val="22"/>
  </w:num>
  <w:num w:numId="8" w16cid:durableId="295571819">
    <w:abstractNumId w:val="30"/>
  </w:num>
  <w:num w:numId="9" w16cid:durableId="352999201">
    <w:abstractNumId w:val="2"/>
  </w:num>
  <w:num w:numId="10" w16cid:durableId="155921565">
    <w:abstractNumId w:val="18"/>
  </w:num>
  <w:num w:numId="11" w16cid:durableId="1502088847">
    <w:abstractNumId w:val="6"/>
  </w:num>
  <w:num w:numId="12" w16cid:durableId="352416496">
    <w:abstractNumId w:val="12"/>
  </w:num>
  <w:num w:numId="13" w16cid:durableId="687410075">
    <w:abstractNumId w:val="13"/>
  </w:num>
  <w:num w:numId="14" w16cid:durableId="720128445">
    <w:abstractNumId w:val="3"/>
  </w:num>
  <w:num w:numId="15" w16cid:durableId="1001195882">
    <w:abstractNumId w:val="25"/>
  </w:num>
  <w:num w:numId="16" w16cid:durableId="1860242954">
    <w:abstractNumId w:val="19"/>
  </w:num>
  <w:num w:numId="17" w16cid:durableId="1006712775">
    <w:abstractNumId w:val="24"/>
  </w:num>
  <w:num w:numId="18" w16cid:durableId="343166489">
    <w:abstractNumId w:val="32"/>
  </w:num>
  <w:num w:numId="19" w16cid:durableId="745809351">
    <w:abstractNumId w:val="31"/>
  </w:num>
  <w:num w:numId="20" w16cid:durableId="685441265">
    <w:abstractNumId w:val="0"/>
  </w:num>
  <w:num w:numId="21" w16cid:durableId="12649913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254854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48880792">
    <w:abstractNumId w:val="4"/>
  </w:num>
  <w:num w:numId="24" w16cid:durableId="183901766">
    <w:abstractNumId w:val="11"/>
  </w:num>
  <w:num w:numId="25" w16cid:durableId="1058358033">
    <w:abstractNumId w:val="7"/>
  </w:num>
  <w:num w:numId="26" w16cid:durableId="1860047624">
    <w:abstractNumId w:val="20"/>
  </w:num>
  <w:num w:numId="27" w16cid:durableId="1652707199">
    <w:abstractNumId w:val="8"/>
  </w:num>
  <w:num w:numId="28" w16cid:durableId="1868831285">
    <w:abstractNumId w:val="27"/>
  </w:num>
  <w:num w:numId="29" w16cid:durableId="1750039335">
    <w:abstractNumId w:val="26"/>
  </w:num>
  <w:num w:numId="30" w16cid:durableId="424542904">
    <w:abstractNumId w:val="16"/>
  </w:num>
  <w:num w:numId="31" w16cid:durableId="675350337">
    <w:abstractNumId w:val="33"/>
  </w:num>
  <w:num w:numId="32" w16cid:durableId="933628899">
    <w:abstractNumId w:val="34"/>
  </w:num>
  <w:num w:numId="33" w16cid:durableId="1779182300">
    <w:abstractNumId w:val="17"/>
  </w:num>
  <w:num w:numId="34" w16cid:durableId="1891917838">
    <w:abstractNumId w:val="28"/>
  </w:num>
  <w:num w:numId="35" w16cid:durableId="1343319224">
    <w:abstractNumId w:val="9"/>
  </w:num>
  <w:num w:numId="36" w16cid:durableId="1922324725">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C02F3"/>
    <w:rsid w:val="00003080"/>
    <w:rsid w:val="000051CE"/>
    <w:rsid w:val="000053E2"/>
    <w:rsid w:val="00006431"/>
    <w:rsid w:val="00006C14"/>
    <w:rsid w:val="00014DDF"/>
    <w:rsid w:val="0001586A"/>
    <w:rsid w:val="00017A42"/>
    <w:rsid w:val="00017C42"/>
    <w:rsid w:val="00026A8A"/>
    <w:rsid w:val="0002704E"/>
    <w:rsid w:val="00033FD2"/>
    <w:rsid w:val="000347A5"/>
    <w:rsid w:val="000358FA"/>
    <w:rsid w:val="0003628A"/>
    <w:rsid w:val="00036349"/>
    <w:rsid w:val="00037183"/>
    <w:rsid w:val="00040C29"/>
    <w:rsid w:val="00043CA9"/>
    <w:rsid w:val="00046BEC"/>
    <w:rsid w:val="00047721"/>
    <w:rsid w:val="00051608"/>
    <w:rsid w:val="0005496F"/>
    <w:rsid w:val="00057206"/>
    <w:rsid w:val="00057FAA"/>
    <w:rsid w:val="00060A68"/>
    <w:rsid w:val="00062EB4"/>
    <w:rsid w:val="00063C24"/>
    <w:rsid w:val="00065814"/>
    <w:rsid w:val="000727C8"/>
    <w:rsid w:val="00082528"/>
    <w:rsid w:val="00083E09"/>
    <w:rsid w:val="00086CC9"/>
    <w:rsid w:val="000878DF"/>
    <w:rsid w:val="0009447D"/>
    <w:rsid w:val="00095E02"/>
    <w:rsid w:val="000A1210"/>
    <w:rsid w:val="000A22A7"/>
    <w:rsid w:val="000B32E2"/>
    <w:rsid w:val="000B3A39"/>
    <w:rsid w:val="000B4374"/>
    <w:rsid w:val="000B684D"/>
    <w:rsid w:val="000B7F5F"/>
    <w:rsid w:val="000C31D0"/>
    <w:rsid w:val="000C33E6"/>
    <w:rsid w:val="000C3C1D"/>
    <w:rsid w:val="000C77E7"/>
    <w:rsid w:val="000C7F19"/>
    <w:rsid w:val="000D16D6"/>
    <w:rsid w:val="000D1C94"/>
    <w:rsid w:val="000D75C9"/>
    <w:rsid w:val="000E7C77"/>
    <w:rsid w:val="000F32C0"/>
    <w:rsid w:val="000F4896"/>
    <w:rsid w:val="00104EC9"/>
    <w:rsid w:val="00107F32"/>
    <w:rsid w:val="00111923"/>
    <w:rsid w:val="00113472"/>
    <w:rsid w:val="00113D11"/>
    <w:rsid w:val="001215D7"/>
    <w:rsid w:val="001269B4"/>
    <w:rsid w:val="001279BA"/>
    <w:rsid w:val="00132DA6"/>
    <w:rsid w:val="001338E6"/>
    <w:rsid w:val="00145954"/>
    <w:rsid w:val="0015014B"/>
    <w:rsid w:val="00154C00"/>
    <w:rsid w:val="00155FCC"/>
    <w:rsid w:val="00156292"/>
    <w:rsid w:val="0015750F"/>
    <w:rsid w:val="00160ABC"/>
    <w:rsid w:val="001610F8"/>
    <w:rsid w:val="00162280"/>
    <w:rsid w:val="001629E8"/>
    <w:rsid w:val="001668CB"/>
    <w:rsid w:val="00176E87"/>
    <w:rsid w:val="001810A3"/>
    <w:rsid w:val="00181DD4"/>
    <w:rsid w:val="001869F4"/>
    <w:rsid w:val="0019105C"/>
    <w:rsid w:val="00191852"/>
    <w:rsid w:val="001963E1"/>
    <w:rsid w:val="001A2886"/>
    <w:rsid w:val="001A3903"/>
    <w:rsid w:val="001A4357"/>
    <w:rsid w:val="001A5330"/>
    <w:rsid w:val="001A6F64"/>
    <w:rsid w:val="001B09B2"/>
    <w:rsid w:val="001B2B27"/>
    <w:rsid w:val="001B6423"/>
    <w:rsid w:val="001B65B5"/>
    <w:rsid w:val="001B6A84"/>
    <w:rsid w:val="001C4108"/>
    <w:rsid w:val="001C5CF1"/>
    <w:rsid w:val="001C77E3"/>
    <w:rsid w:val="001D4872"/>
    <w:rsid w:val="001E12E1"/>
    <w:rsid w:val="001F0238"/>
    <w:rsid w:val="001F07AA"/>
    <w:rsid w:val="001F395B"/>
    <w:rsid w:val="001F7131"/>
    <w:rsid w:val="0020034D"/>
    <w:rsid w:val="00202B87"/>
    <w:rsid w:val="00205303"/>
    <w:rsid w:val="002058B7"/>
    <w:rsid w:val="00210307"/>
    <w:rsid w:val="00210A4B"/>
    <w:rsid w:val="00211B0B"/>
    <w:rsid w:val="002127A4"/>
    <w:rsid w:val="00217149"/>
    <w:rsid w:val="002200D9"/>
    <w:rsid w:val="00220C46"/>
    <w:rsid w:val="00223B83"/>
    <w:rsid w:val="00226B0F"/>
    <w:rsid w:val="00231582"/>
    <w:rsid w:val="00232ECE"/>
    <w:rsid w:val="002401E7"/>
    <w:rsid w:val="002406DF"/>
    <w:rsid w:val="002438C5"/>
    <w:rsid w:val="00244865"/>
    <w:rsid w:val="00245AB0"/>
    <w:rsid w:val="00247CF2"/>
    <w:rsid w:val="002543EF"/>
    <w:rsid w:val="00255D08"/>
    <w:rsid w:val="00271801"/>
    <w:rsid w:val="0027280B"/>
    <w:rsid w:val="00272B1C"/>
    <w:rsid w:val="0027345D"/>
    <w:rsid w:val="00273E48"/>
    <w:rsid w:val="00280A4B"/>
    <w:rsid w:val="00280E60"/>
    <w:rsid w:val="00281ABA"/>
    <w:rsid w:val="0028220A"/>
    <w:rsid w:val="00286291"/>
    <w:rsid w:val="00287C9D"/>
    <w:rsid w:val="002A0580"/>
    <w:rsid w:val="002A5DC9"/>
    <w:rsid w:val="002B09CF"/>
    <w:rsid w:val="002B51C6"/>
    <w:rsid w:val="002B75CD"/>
    <w:rsid w:val="002C373F"/>
    <w:rsid w:val="002C3E53"/>
    <w:rsid w:val="002C4A80"/>
    <w:rsid w:val="002D1B9C"/>
    <w:rsid w:val="002D2CE1"/>
    <w:rsid w:val="002D5C85"/>
    <w:rsid w:val="002E21B4"/>
    <w:rsid w:val="002E3396"/>
    <w:rsid w:val="002E5531"/>
    <w:rsid w:val="002F2D26"/>
    <w:rsid w:val="003020A6"/>
    <w:rsid w:val="00304838"/>
    <w:rsid w:val="00307408"/>
    <w:rsid w:val="00310BB8"/>
    <w:rsid w:val="00311C46"/>
    <w:rsid w:val="00313E4C"/>
    <w:rsid w:val="0032686A"/>
    <w:rsid w:val="00331696"/>
    <w:rsid w:val="0033276D"/>
    <w:rsid w:val="00332DAB"/>
    <w:rsid w:val="00333975"/>
    <w:rsid w:val="0033747C"/>
    <w:rsid w:val="00345390"/>
    <w:rsid w:val="00345FAD"/>
    <w:rsid w:val="00347F21"/>
    <w:rsid w:val="003509D7"/>
    <w:rsid w:val="00351295"/>
    <w:rsid w:val="00352263"/>
    <w:rsid w:val="00357CE5"/>
    <w:rsid w:val="00361BBB"/>
    <w:rsid w:val="003631F8"/>
    <w:rsid w:val="003666A8"/>
    <w:rsid w:val="003701A1"/>
    <w:rsid w:val="00373B3A"/>
    <w:rsid w:val="003742AD"/>
    <w:rsid w:val="003745CC"/>
    <w:rsid w:val="003763BB"/>
    <w:rsid w:val="003779D3"/>
    <w:rsid w:val="00377F7E"/>
    <w:rsid w:val="00380745"/>
    <w:rsid w:val="00380C2F"/>
    <w:rsid w:val="00383D79"/>
    <w:rsid w:val="00385FC8"/>
    <w:rsid w:val="00387D17"/>
    <w:rsid w:val="00392815"/>
    <w:rsid w:val="003952FD"/>
    <w:rsid w:val="00397DFA"/>
    <w:rsid w:val="003A1727"/>
    <w:rsid w:val="003A197C"/>
    <w:rsid w:val="003A2914"/>
    <w:rsid w:val="003B03B5"/>
    <w:rsid w:val="003B4F43"/>
    <w:rsid w:val="003B5EE4"/>
    <w:rsid w:val="003B60E5"/>
    <w:rsid w:val="003B631F"/>
    <w:rsid w:val="003B7C7F"/>
    <w:rsid w:val="003C02F3"/>
    <w:rsid w:val="003C4035"/>
    <w:rsid w:val="003C7350"/>
    <w:rsid w:val="003D1322"/>
    <w:rsid w:val="003D1BA9"/>
    <w:rsid w:val="003D4CDB"/>
    <w:rsid w:val="003D4D5F"/>
    <w:rsid w:val="003E2DD8"/>
    <w:rsid w:val="003E3FB6"/>
    <w:rsid w:val="003E5379"/>
    <w:rsid w:val="003F14E9"/>
    <w:rsid w:val="003F565A"/>
    <w:rsid w:val="00402026"/>
    <w:rsid w:val="00402D59"/>
    <w:rsid w:val="004041AB"/>
    <w:rsid w:val="00411389"/>
    <w:rsid w:val="004118BB"/>
    <w:rsid w:val="0041322D"/>
    <w:rsid w:val="004178BD"/>
    <w:rsid w:val="00417F00"/>
    <w:rsid w:val="00421CFB"/>
    <w:rsid w:val="00427075"/>
    <w:rsid w:val="00427877"/>
    <w:rsid w:val="004309F6"/>
    <w:rsid w:val="00431FC7"/>
    <w:rsid w:val="00433502"/>
    <w:rsid w:val="00437362"/>
    <w:rsid w:val="00451A70"/>
    <w:rsid w:val="004576B6"/>
    <w:rsid w:val="004619D3"/>
    <w:rsid w:val="00462DAD"/>
    <w:rsid w:val="00462F9C"/>
    <w:rsid w:val="0046327A"/>
    <w:rsid w:val="00464B45"/>
    <w:rsid w:val="00467691"/>
    <w:rsid w:val="004679EE"/>
    <w:rsid w:val="00481465"/>
    <w:rsid w:val="00482658"/>
    <w:rsid w:val="0048292B"/>
    <w:rsid w:val="00482FA2"/>
    <w:rsid w:val="00484ABC"/>
    <w:rsid w:val="00491174"/>
    <w:rsid w:val="00491F5B"/>
    <w:rsid w:val="00492A6A"/>
    <w:rsid w:val="00493AE3"/>
    <w:rsid w:val="00493EBC"/>
    <w:rsid w:val="00494EF5"/>
    <w:rsid w:val="004A11F4"/>
    <w:rsid w:val="004A3DF4"/>
    <w:rsid w:val="004A40CE"/>
    <w:rsid w:val="004B0571"/>
    <w:rsid w:val="004B4AD3"/>
    <w:rsid w:val="004C28FB"/>
    <w:rsid w:val="004C31B8"/>
    <w:rsid w:val="004D21DD"/>
    <w:rsid w:val="004D6D58"/>
    <w:rsid w:val="004D792D"/>
    <w:rsid w:val="004E275F"/>
    <w:rsid w:val="004E297D"/>
    <w:rsid w:val="004E6767"/>
    <w:rsid w:val="004E76D2"/>
    <w:rsid w:val="004E7A59"/>
    <w:rsid w:val="004F3451"/>
    <w:rsid w:val="004F3928"/>
    <w:rsid w:val="004F63B5"/>
    <w:rsid w:val="005044A3"/>
    <w:rsid w:val="00504F2B"/>
    <w:rsid w:val="00505015"/>
    <w:rsid w:val="0050506C"/>
    <w:rsid w:val="0050645F"/>
    <w:rsid w:val="0050712F"/>
    <w:rsid w:val="00507E76"/>
    <w:rsid w:val="00534B8B"/>
    <w:rsid w:val="00544604"/>
    <w:rsid w:val="00544E90"/>
    <w:rsid w:val="0056227E"/>
    <w:rsid w:val="005624B8"/>
    <w:rsid w:val="00563FCC"/>
    <w:rsid w:val="0056787F"/>
    <w:rsid w:val="00572BA3"/>
    <w:rsid w:val="00573492"/>
    <w:rsid w:val="005800B0"/>
    <w:rsid w:val="00581E8A"/>
    <w:rsid w:val="00582BF8"/>
    <w:rsid w:val="00582FB8"/>
    <w:rsid w:val="005859D3"/>
    <w:rsid w:val="005910A3"/>
    <w:rsid w:val="00593F77"/>
    <w:rsid w:val="00594E48"/>
    <w:rsid w:val="00595436"/>
    <w:rsid w:val="005A0BF6"/>
    <w:rsid w:val="005A22EC"/>
    <w:rsid w:val="005B2F30"/>
    <w:rsid w:val="005B521B"/>
    <w:rsid w:val="005C0A57"/>
    <w:rsid w:val="005C421E"/>
    <w:rsid w:val="005C48A9"/>
    <w:rsid w:val="005C7663"/>
    <w:rsid w:val="005D25EC"/>
    <w:rsid w:val="005D28D3"/>
    <w:rsid w:val="005D71C2"/>
    <w:rsid w:val="005E0B0D"/>
    <w:rsid w:val="005E12D2"/>
    <w:rsid w:val="005E2E98"/>
    <w:rsid w:val="005E36BA"/>
    <w:rsid w:val="005E6BDE"/>
    <w:rsid w:val="005F2DB3"/>
    <w:rsid w:val="005F39A8"/>
    <w:rsid w:val="005F56C7"/>
    <w:rsid w:val="005F6B83"/>
    <w:rsid w:val="006021FF"/>
    <w:rsid w:val="00611E4B"/>
    <w:rsid w:val="00612B46"/>
    <w:rsid w:val="0062070B"/>
    <w:rsid w:val="00621123"/>
    <w:rsid w:val="00624847"/>
    <w:rsid w:val="00626812"/>
    <w:rsid w:val="00630AE3"/>
    <w:rsid w:val="0063111F"/>
    <w:rsid w:val="00632B65"/>
    <w:rsid w:val="006346B7"/>
    <w:rsid w:val="00635E40"/>
    <w:rsid w:val="006425FF"/>
    <w:rsid w:val="00650426"/>
    <w:rsid w:val="00652504"/>
    <w:rsid w:val="00655FDB"/>
    <w:rsid w:val="00657EBB"/>
    <w:rsid w:val="00660512"/>
    <w:rsid w:val="00661C52"/>
    <w:rsid w:val="006626B3"/>
    <w:rsid w:val="0066277A"/>
    <w:rsid w:val="006635B6"/>
    <w:rsid w:val="0067105C"/>
    <w:rsid w:val="00671C4B"/>
    <w:rsid w:val="00671ECC"/>
    <w:rsid w:val="0067230A"/>
    <w:rsid w:val="00673A46"/>
    <w:rsid w:val="0067756E"/>
    <w:rsid w:val="006825B3"/>
    <w:rsid w:val="0068335D"/>
    <w:rsid w:val="00693AEB"/>
    <w:rsid w:val="0069505C"/>
    <w:rsid w:val="006963D2"/>
    <w:rsid w:val="00696647"/>
    <w:rsid w:val="006971DC"/>
    <w:rsid w:val="006A2870"/>
    <w:rsid w:val="006A50C7"/>
    <w:rsid w:val="006A78FF"/>
    <w:rsid w:val="006B0214"/>
    <w:rsid w:val="006B2993"/>
    <w:rsid w:val="006B53CC"/>
    <w:rsid w:val="006B5EF2"/>
    <w:rsid w:val="006B6787"/>
    <w:rsid w:val="006C52EB"/>
    <w:rsid w:val="006C5992"/>
    <w:rsid w:val="006C5B1D"/>
    <w:rsid w:val="006D21D4"/>
    <w:rsid w:val="006D2F54"/>
    <w:rsid w:val="006D5BEC"/>
    <w:rsid w:val="006D5D0B"/>
    <w:rsid w:val="006D729E"/>
    <w:rsid w:val="006E1487"/>
    <w:rsid w:val="006E3A93"/>
    <w:rsid w:val="006E42A6"/>
    <w:rsid w:val="006E4FA9"/>
    <w:rsid w:val="006E6E74"/>
    <w:rsid w:val="006E770C"/>
    <w:rsid w:val="006F0DB6"/>
    <w:rsid w:val="006F4ED6"/>
    <w:rsid w:val="006F5812"/>
    <w:rsid w:val="006F5B36"/>
    <w:rsid w:val="006F6BEA"/>
    <w:rsid w:val="006F6DB6"/>
    <w:rsid w:val="00700932"/>
    <w:rsid w:val="00702CC6"/>
    <w:rsid w:val="007061F1"/>
    <w:rsid w:val="007107E6"/>
    <w:rsid w:val="00711F3D"/>
    <w:rsid w:val="0071318B"/>
    <w:rsid w:val="00720071"/>
    <w:rsid w:val="00720BC9"/>
    <w:rsid w:val="00726BFC"/>
    <w:rsid w:val="0073035F"/>
    <w:rsid w:val="007412C6"/>
    <w:rsid w:val="007416EE"/>
    <w:rsid w:val="0074253F"/>
    <w:rsid w:val="007441B1"/>
    <w:rsid w:val="00744BA3"/>
    <w:rsid w:val="00755646"/>
    <w:rsid w:val="00755D4F"/>
    <w:rsid w:val="00757176"/>
    <w:rsid w:val="00761983"/>
    <w:rsid w:val="00763F57"/>
    <w:rsid w:val="00767055"/>
    <w:rsid w:val="00776208"/>
    <w:rsid w:val="007765E5"/>
    <w:rsid w:val="00777C3E"/>
    <w:rsid w:val="00782348"/>
    <w:rsid w:val="00783C23"/>
    <w:rsid w:val="007862FC"/>
    <w:rsid w:val="0079172C"/>
    <w:rsid w:val="0079242B"/>
    <w:rsid w:val="007940A1"/>
    <w:rsid w:val="007B2596"/>
    <w:rsid w:val="007B71DD"/>
    <w:rsid w:val="007C1CA8"/>
    <w:rsid w:val="007C57CC"/>
    <w:rsid w:val="007C6022"/>
    <w:rsid w:val="007D0F95"/>
    <w:rsid w:val="007D1221"/>
    <w:rsid w:val="007D2BFB"/>
    <w:rsid w:val="007D5B9B"/>
    <w:rsid w:val="007D7411"/>
    <w:rsid w:val="007E1699"/>
    <w:rsid w:val="007E3282"/>
    <w:rsid w:val="007E479A"/>
    <w:rsid w:val="007E6C84"/>
    <w:rsid w:val="007F13B4"/>
    <w:rsid w:val="007F4AE2"/>
    <w:rsid w:val="007F4CB6"/>
    <w:rsid w:val="00806353"/>
    <w:rsid w:val="008149D9"/>
    <w:rsid w:val="00822389"/>
    <w:rsid w:val="00826674"/>
    <w:rsid w:val="00827980"/>
    <w:rsid w:val="0084169E"/>
    <w:rsid w:val="00841D37"/>
    <w:rsid w:val="00842AA1"/>
    <w:rsid w:val="00843E13"/>
    <w:rsid w:val="0084647B"/>
    <w:rsid w:val="00863436"/>
    <w:rsid w:val="008674F0"/>
    <w:rsid w:val="008752F2"/>
    <w:rsid w:val="008833F1"/>
    <w:rsid w:val="0088438E"/>
    <w:rsid w:val="008A0A48"/>
    <w:rsid w:val="008A15FE"/>
    <w:rsid w:val="008A76C1"/>
    <w:rsid w:val="008B0F71"/>
    <w:rsid w:val="008B0F8D"/>
    <w:rsid w:val="008B18EA"/>
    <w:rsid w:val="008C34EB"/>
    <w:rsid w:val="008C3C71"/>
    <w:rsid w:val="008D2BF6"/>
    <w:rsid w:val="008D69C8"/>
    <w:rsid w:val="008E157E"/>
    <w:rsid w:val="008E3BF1"/>
    <w:rsid w:val="008E4C0F"/>
    <w:rsid w:val="008E5C29"/>
    <w:rsid w:val="008E65CD"/>
    <w:rsid w:val="008E7A32"/>
    <w:rsid w:val="008F54D9"/>
    <w:rsid w:val="00900F7F"/>
    <w:rsid w:val="00901ACB"/>
    <w:rsid w:val="00906ADB"/>
    <w:rsid w:val="00906F5F"/>
    <w:rsid w:val="009102E6"/>
    <w:rsid w:val="009136D6"/>
    <w:rsid w:val="00915B44"/>
    <w:rsid w:val="00915FAB"/>
    <w:rsid w:val="009166B6"/>
    <w:rsid w:val="00916E90"/>
    <w:rsid w:val="00922382"/>
    <w:rsid w:val="00926EF4"/>
    <w:rsid w:val="0092761D"/>
    <w:rsid w:val="00931923"/>
    <w:rsid w:val="00936D4F"/>
    <w:rsid w:val="00941BFB"/>
    <w:rsid w:val="00941EC5"/>
    <w:rsid w:val="009444E4"/>
    <w:rsid w:val="00952D3E"/>
    <w:rsid w:val="00954659"/>
    <w:rsid w:val="00957748"/>
    <w:rsid w:val="0097332D"/>
    <w:rsid w:val="00986B8A"/>
    <w:rsid w:val="0099554F"/>
    <w:rsid w:val="00996251"/>
    <w:rsid w:val="009A0D50"/>
    <w:rsid w:val="009A12B1"/>
    <w:rsid w:val="009A38C9"/>
    <w:rsid w:val="009A44A0"/>
    <w:rsid w:val="009A60E4"/>
    <w:rsid w:val="009C78AE"/>
    <w:rsid w:val="009D14D1"/>
    <w:rsid w:val="009D29A6"/>
    <w:rsid w:val="009D619C"/>
    <w:rsid w:val="009E0796"/>
    <w:rsid w:val="009E50E0"/>
    <w:rsid w:val="009E6694"/>
    <w:rsid w:val="009F272D"/>
    <w:rsid w:val="009F4A87"/>
    <w:rsid w:val="009F5807"/>
    <w:rsid w:val="009F6054"/>
    <w:rsid w:val="009F64D9"/>
    <w:rsid w:val="009F68AF"/>
    <w:rsid w:val="009F7A03"/>
    <w:rsid w:val="009F7C91"/>
    <w:rsid w:val="00A047E1"/>
    <w:rsid w:val="00A0521D"/>
    <w:rsid w:val="00A0662C"/>
    <w:rsid w:val="00A078A5"/>
    <w:rsid w:val="00A07CA7"/>
    <w:rsid w:val="00A143DC"/>
    <w:rsid w:val="00A1794C"/>
    <w:rsid w:val="00A246A9"/>
    <w:rsid w:val="00A25824"/>
    <w:rsid w:val="00A25E3C"/>
    <w:rsid w:val="00A303C0"/>
    <w:rsid w:val="00A346BB"/>
    <w:rsid w:val="00A3593F"/>
    <w:rsid w:val="00A36194"/>
    <w:rsid w:val="00A36A10"/>
    <w:rsid w:val="00A36E7C"/>
    <w:rsid w:val="00A40B2B"/>
    <w:rsid w:val="00A4269B"/>
    <w:rsid w:val="00A42FEE"/>
    <w:rsid w:val="00A44DBE"/>
    <w:rsid w:val="00A45116"/>
    <w:rsid w:val="00A509BD"/>
    <w:rsid w:val="00A52C54"/>
    <w:rsid w:val="00A574FD"/>
    <w:rsid w:val="00A61171"/>
    <w:rsid w:val="00A64E9F"/>
    <w:rsid w:val="00A72ECC"/>
    <w:rsid w:val="00A72F73"/>
    <w:rsid w:val="00A747B7"/>
    <w:rsid w:val="00A752D7"/>
    <w:rsid w:val="00A77056"/>
    <w:rsid w:val="00A82652"/>
    <w:rsid w:val="00A869C5"/>
    <w:rsid w:val="00A874BB"/>
    <w:rsid w:val="00A91087"/>
    <w:rsid w:val="00AA6C99"/>
    <w:rsid w:val="00AB045D"/>
    <w:rsid w:val="00AB3687"/>
    <w:rsid w:val="00AC2FB1"/>
    <w:rsid w:val="00AC5A1F"/>
    <w:rsid w:val="00AC5FBF"/>
    <w:rsid w:val="00AC6933"/>
    <w:rsid w:val="00AC6F91"/>
    <w:rsid w:val="00AD079D"/>
    <w:rsid w:val="00AD205C"/>
    <w:rsid w:val="00AE6959"/>
    <w:rsid w:val="00AF59C2"/>
    <w:rsid w:val="00AF619F"/>
    <w:rsid w:val="00AF6B0F"/>
    <w:rsid w:val="00B00BEA"/>
    <w:rsid w:val="00B00FCC"/>
    <w:rsid w:val="00B01746"/>
    <w:rsid w:val="00B05E0F"/>
    <w:rsid w:val="00B07179"/>
    <w:rsid w:val="00B07537"/>
    <w:rsid w:val="00B107A9"/>
    <w:rsid w:val="00B110C8"/>
    <w:rsid w:val="00B20ED3"/>
    <w:rsid w:val="00B21608"/>
    <w:rsid w:val="00B21679"/>
    <w:rsid w:val="00B23312"/>
    <w:rsid w:val="00B31847"/>
    <w:rsid w:val="00B33AFD"/>
    <w:rsid w:val="00B341F1"/>
    <w:rsid w:val="00B34257"/>
    <w:rsid w:val="00B442F4"/>
    <w:rsid w:val="00B4595E"/>
    <w:rsid w:val="00B47425"/>
    <w:rsid w:val="00B54893"/>
    <w:rsid w:val="00B56CB4"/>
    <w:rsid w:val="00B571FC"/>
    <w:rsid w:val="00B70B8B"/>
    <w:rsid w:val="00B71E4B"/>
    <w:rsid w:val="00B75D51"/>
    <w:rsid w:val="00B76DB1"/>
    <w:rsid w:val="00B80050"/>
    <w:rsid w:val="00B84180"/>
    <w:rsid w:val="00B9338C"/>
    <w:rsid w:val="00B95411"/>
    <w:rsid w:val="00B95F68"/>
    <w:rsid w:val="00B97877"/>
    <w:rsid w:val="00BB21A8"/>
    <w:rsid w:val="00BB4EC2"/>
    <w:rsid w:val="00BB5F43"/>
    <w:rsid w:val="00BC5950"/>
    <w:rsid w:val="00BC654A"/>
    <w:rsid w:val="00BD1DB0"/>
    <w:rsid w:val="00BD20EA"/>
    <w:rsid w:val="00BD5E07"/>
    <w:rsid w:val="00BD7237"/>
    <w:rsid w:val="00BD77A9"/>
    <w:rsid w:val="00BE36CB"/>
    <w:rsid w:val="00BE55D0"/>
    <w:rsid w:val="00BF33A5"/>
    <w:rsid w:val="00BF3D98"/>
    <w:rsid w:val="00BF3FE8"/>
    <w:rsid w:val="00C01842"/>
    <w:rsid w:val="00C04FA9"/>
    <w:rsid w:val="00C050B1"/>
    <w:rsid w:val="00C058B7"/>
    <w:rsid w:val="00C06174"/>
    <w:rsid w:val="00C0773D"/>
    <w:rsid w:val="00C12C05"/>
    <w:rsid w:val="00C1330E"/>
    <w:rsid w:val="00C147E3"/>
    <w:rsid w:val="00C15601"/>
    <w:rsid w:val="00C2244F"/>
    <w:rsid w:val="00C274B6"/>
    <w:rsid w:val="00C27AC1"/>
    <w:rsid w:val="00C314F7"/>
    <w:rsid w:val="00C36494"/>
    <w:rsid w:val="00C37E99"/>
    <w:rsid w:val="00C40515"/>
    <w:rsid w:val="00C41913"/>
    <w:rsid w:val="00C46AC5"/>
    <w:rsid w:val="00C46CD1"/>
    <w:rsid w:val="00C46E47"/>
    <w:rsid w:val="00C47574"/>
    <w:rsid w:val="00C47777"/>
    <w:rsid w:val="00C50E8B"/>
    <w:rsid w:val="00C51018"/>
    <w:rsid w:val="00C532A9"/>
    <w:rsid w:val="00C538E1"/>
    <w:rsid w:val="00C54550"/>
    <w:rsid w:val="00C54822"/>
    <w:rsid w:val="00C57259"/>
    <w:rsid w:val="00C62E4D"/>
    <w:rsid w:val="00C63C12"/>
    <w:rsid w:val="00C63F36"/>
    <w:rsid w:val="00C64789"/>
    <w:rsid w:val="00C64C8B"/>
    <w:rsid w:val="00C666F3"/>
    <w:rsid w:val="00C72866"/>
    <w:rsid w:val="00C740EA"/>
    <w:rsid w:val="00C744DC"/>
    <w:rsid w:val="00C76ABF"/>
    <w:rsid w:val="00C82600"/>
    <w:rsid w:val="00C8328D"/>
    <w:rsid w:val="00C84012"/>
    <w:rsid w:val="00C85357"/>
    <w:rsid w:val="00C865A0"/>
    <w:rsid w:val="00C87343"/>
    <w:rsid w:val="00CA392A"/>
    <w:rsid w:val="00CA49FE"/>
    <w:rsid w:val="00CB051C"/>
    <w:rsid w:val="00CB2CC7"/>
    <w:rsid w:val="00CC1C5E"/>
    <w:rsid w:val="00CC6E2F"/>
    <w:rsid w:val="00CD2B8C"/>
    <w:rsid w:val="00CD30B0"/>
    <w:rsid w:val="00CD61D2"/>
    <w:rsid w:val="00CD65E7"/>
    <w:rsid w:val="00CE3F34"/>
    <w:rsid w:val="00CE5391"/>
    <w:rsid w:val="00CE7214"/>
    <w:rsid w:val="00CF60EF"/>
    <w:rsid w:val="00CF7F8F"/>
    <w:rsid w:val="00D06751"/>
    <w:rsid w:val="00D07920"/>
    <w:rsid w:val="00D14BD6"/>
    <w:rsid w:val="00D159CF"/>
    <w:rsid w:val="00D15D21"/>
    <w:rsid w:val="00D2038A"/>
    <w:rsid w:val="00D203D1"/>
    <w:rsid w:val="00D216BC"/>
    <w:rsid w:val="00D23FBD"/>
    <w:rsid w:val="00D25EF7"/>
    <w:rsid w:val="00D302AE"/>
    <w:rsid w:val="00D3185D"/>
    <w:rsid w:val="00D34027"/>
    <w:rsid w:val="00D35948"/>
    <w:rsid w:val="00D4038D"/>
    <w:rsid w:val="00D46F12"/>
    <w:rsid w:val="00D54AB7"/>
    <w:rsid w:val="00D5657D"/>
    <w:rsid w:val="00D60295"/>
    <w:rsid w:val="00D71FD5"/>
    <w:rsid w:val="00D73F3D"/>
    <w:rsid w:val="00D74AEF"/>
    <w:rsid w:val="00D904AC"/>
    <w:rsid w:val="00D91C89"/>
    <w:rsid w:val="00D93050"/>
    <w:rsid w:val="00DA689F"/>
    <w:rsid w:val="00DB4C9D"/>
    <w:rsid w:val="00DB6ED6"/>
    <w:rsid w:val="00DC1C1E"/>
    <w:rsid w:val="00DD1413"/>
    <w:rsid w:val="00DD653A"/>
    <w:rsid w:val="00DD6B92"/>
    <w:rsid w:val="00DD6CDC"/>
    <w:rsid w:val="00DD6DD5"/>
    <w:rsid w:val="00DD7BA7"/>
    <w:rsid w:val="00DE3AD7"/>
    <w:rsid w:val="00DF15CB"/>
    <w:rsid w:val="00DF7B6B"/>
    <w:rsid w:val="00E00F0F"/>
    <w:rsid w:val="00E02523"/>
    <w:rsid w:val="00E072CE"/>
    <w:rsid w:val="00E10EDE"/>
    <w:rsid w:val="00E13CEE"/>
    <w:rsid w:val="00E15446"/>
    <w:rsid w:val="00E15E67"/>
    <w:rsid w:val="00E17663"/>
    <w:rsid w:val="00E27FBB"/>
    <w:rsid w:val="00E31262"/>
    <w:rsid w:val="00E367F6"/>
    <w:rsid w:val="00E37D1C"/>
    <w:rsid w:val="00E43996"/>
    <w:rsid w:val="00E441F6"/>
    <w:rsid w:val="00E508B6"/>
    <w:rsid w:val="00E508E3"/>
    <w:rsid w:val="00E53ED3"/>
    <w:rsid w:val="00E56948"/>
    <w:rsid w:val="00E56CA9"/>
    <w:rsid w:val="00E57317"/>
    <w:rsid w:val="00E649E4"/>
    <w:rsid w:val="00E66A97"/>
    <w:rsid w:val="00E6715E"/>
    <w:rsid w:val="00E67AD5"/>
    <w:rsid w:val="00E708A3"/>
    <w:rsid w:val="00E70DC5"/>
    <w:rsid w:val="00E7181B"/>
    <w:rsid w:val="00E72DA3"/>
    <w:rsid w:val="00E73F8A"/>
    <w:rsid w:val="00E75C71"/>
    <w:rsid w:val="00E769AF"/>
    <w:rsid w:val="00E773CB"/>
    <w:rsid w:val="00E77B30"/>
    <w:rsid w:val="00E83400"/>
    <w:rsid w:val="00E90222"/>
    <w:rsid w:val="00E955C7"/>
    <w:rsid w:val="00EA1E75"/>
    <w:rsid w:val="00EA4129"/>
    <w:rsid w:val="00EA6E2F"/>
    <w:rsid w:val="00EA6FD7"/>
    <w:rsid w:val="00EB4F9B"/>
    <w:rsid w:val="00EB5405"/>
    <w:rsid w:val="00EC20E9"/>
    <w:rsid w:val="00EC340B"/>
    <w:rsid w:val="00ED1CA4"/>
    <w:rsid w:val="00ED29AB"/>
    <w:rsid w:val="00EE08CF"/>
    <w:rsid w:val="00EE22BE"/>
    <w:rsid w:val="00EE26DC"/>
    <w:rsid w:val="00F04898"/>
    <w:rsid w:val="00F07E61"/>
    <w:rsid w:val="00F12D8D"/>
    <w:rsid w:val="00F17030"/>
    <w:rsid w:val="00F228D8"/>
    <w:rsid w:val="00F256EB"/>
    <w:rsid w:val="00F304DE"/>
    <w:rsid w:val="00F31121"/>
    <w:rsid w:val="00F312DC"/>
    <w:rsid w:val="00F379FF"/>
    <w:rsid w:val="00F37EB9"/>
    <w:rsid w:val="00F415A5"/>
    <w:rsid w:val="00F451CF"/>
    <w:rsid w:val="00F501A7"/>
    <w:rsid w:val="00F50221"/>
    <w:rsid w:val="00F549A6"/>
    <w:rsid w:val="00F55E25"/>
    <w:rsid w:val="00F56613"/>
    <w:rsid w:val="00F6390B"/>
    <w:rsid w:val="00F642D9"/>
    <w:rsid w:val="00F715E6"/>
    <w:rsid w:val="00F720B5"/>
    <w:rsid w:val="00F763B9"/>
    <w:rsid w:val="00F767F6"/>
    <w:rsid w:val="00F76D2A"/>
    <w:rsid w:val="00F86E37"/>
    <w:rsid w:val="00F9175C"/>
    <w:rsid w:val="00F96304"/>
    <w:rsid w:val="00FA749D"/>
    <w:rsid w:val="00FB55BA"/>
    <w:rsid w:val="00FC1C39"/>
    <w:rsid w:val="00FC7DA7"/>
    <w:rsid w:val="00FD07D5"/>
    <w:rsid w:val="00FD0FF8"/>
    <w:rsid w:val="00FD37AD"/>
    <w:rsid w:val="00FD5766"/>
    <w:rsid w:val="00FD72E2"/>
    <w:rsid w:val="00FD7B8E"/>
    <w:rsid w:val="00FE1C1A"/>
    <w:rsid w:val="00FE57B7"/>
    <w:rsid w:val="00FF0408"/>
    <w:rsid w:val="00FF0858"/>
    <w:rsid w:val="00FF0926"/>
    <w:rsid w:val="00FF13B1"/>
    <w:rsid w:val="00FF2E23"/>
    <w:rsid w:val="00FF34ED"/>
    <w:rsid w:val="00FF64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553117"/>
  <w15:docId w15:val="{737BA973-E067-44FB-8DCD-FFF0ABCE6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2F3"/>
    <w:pPr>
      <w:spacing w:line="256" w:lineRule="auto"/>
    </w:pPr>
    <w:rPr>
      <w:rFonts w:ascii="Calibri" w:eastAsia="Calibri" w:hAnsi="Calibri" w:cs="Times New Roman"/>
      <w:kern w:val="0"/>
    </w:rPr>
  </w:style>
  <w:style w:type="paragraph" w:styleId="Heading1">
    <w:name w:val="heading 1"/>
    <w:basedOn w:val="Normal"/>
    <w:next w:val="Normal"/>
    <w:link w:val="Heading1Char"/>
    <w:uiPriority w:val="9"/>
    <w:qFormat/>
    <w:rsid w:val="007F4AE2"/>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A689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autoRedefine/>
    <w:uiPriority w:val="9"/>
    <w:unhideWhenUsed/>
    <w:qFormat/>
    <w:rsid w:val="00DA689F"/>
    <w:pPr>
      <w:keepNext/>
      <w:keepLines/>
      <w:spacing w:before="120" w:beforeAutospacing="1" w:after="120" w:line="240" w:lineRule="auto"/>
      <w:jc w:val="both"/>
      <w:outlineLvl w:val="2"/>
    </w:pPr>
    <w:rPr>
      <w:rFonts w:ascii="Times New Roman" w:eastAsia="Times New Roman" w:hAnsi="Times New Roman"/>
      <w:b/>
      <w:sz w:val="24"/>
      <w:szCs w:val="24"/>
    </w:rPr>
  </w:style>
  <w:style w:type="paragraph" w:styleId="Heading4">
    <w:name w:val="heading 4"/>
    <w:basedOn w:val="Normal"/>
    <w:next w:val="Normal"/>
    <w:link w:val="Heading4Char"/>
    <w:uiPriority w:val="9"/>
    <w:unhideWhenUsed/>
    <w:qFormat/>
    <w:rsid w:val="00DA689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unhideWhenUsed/>
    <w:qFormat/>
    <w:rsid w:val="00DA689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unhideWhenUsed/>
    <w:qFormat/>
    <w:rsid w:val="00DA689F"/>
    <w:pPr>
      <w:keepNext/>
      <w:keepLines/>
      <w:spacing w:before="40" w:beforeAutospacing="1" w:after="240" w:line="240" w:lineRule="auto"/>
      <w:jc w:val="both"/>
      <w:outlineLvl w:val="5"/>
    </w:pPr>
    <w:rPr>
      <w:rFonts w:asciiTheme="majorHAnsi" w:eastAsiaTheme="majorEastAsia" w:hAnsiTheme="majorHAnsi" w:cstheme="majorBidi"/>
      <w:color w:val="1F3763" w:themeColor="accent1" w:themeShade="7F"/>
      <w:sz w:val="24"/>
      <w:szCs w:val="24"/>
    </w:rPr>
  </w:style>
  <w:style w:type="paragraph" w:styleId="Heading7">
    <w:name w:val="heading 7"/>
    <w:basedOn w:val="Normal"/>
    <w:next w:val="Normal"/>
    <w:link w:val="Heading7Char"/>
    <w:uiPriority w:val="9"/>
    <w:unhideWhenUsed/>
    <w:qFormat/>
    <w:rsid w:val="00DA689F"/>
    <w:pPr>
      <w:keepNext/>
      <w:keepLines/>
      <w:spacing w:before="40" w:beforeAutospacing="1" w:after="240" w:line="240" w:lineRule="auto"/>
      <w:jc w:val="both"/>
      <w:outlineLvl w:val="6"/>
    </w:pPr>
    <w:rPr>
      <w:rFonts w:asciiTheme="majorHAnsi" w:eastAsiaTheme="majorEastAsia" w:hAnsiTheme="majorHAnsi" w:cstheme="majorBidi"/>
      <w:i/>
      <w:iCs/>
      <w:color w:val="1F3763" w:themeColor="accent1" w:themeShade="7F"/>
      <w:sz w:val="24"/>
      <w:szCs w:val="24"/>
    </w:rPr>
  </w:style>
  <w:style w:type="paragraph" w:styleId="Heading8">
    <w:name w:val="heading 8"/>
    <w:basedOn w:val="Normal"/>
    <w:next w:val="Normal"/>
    <w:link w:val="Heading8Char"/>
    <w:uiPriority w:val="9"/>
    <w:unhideWhenUsed/>
    <w:qFormat/>
    <w:rsid w:val="00DA689F"/>
    <w:pPr>
      <w:keepNext/>
      <w:keepLines/>
      <w:spacing w:before="40" w:beforeAutospacing="1" w:after="240" w:line="240" w:lineRule="auto"/>
      <w:jc w:val="both"/>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DA689F"/>
    <w:pPr>
      <w:keepNext/>
      <w:keepLines/>
      <w:spacing w:before="40" w:beforeAutospacing="1" w:after="240" w:line="240" w:lineRule="auto"/>
      <w:jc w:val="both"/>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qFormat/>
    <w:rsid w:val="005F56C7"/>
    <w:rPr>
      <w:color w:val="0563C1" w:themeColor="hyperlink"/>
      <w:u w:val="single"/>
    </w:rPr>
  </w:style>
  <w:style w:type="character" w:customStyle="1" w:styleId="Heading1Char">
    <w:name w:val="Heading 1 Char"/>
    <w:basedOn w:val="DefaultParagraphFont"/>
    <w:link w:val="Heading1"/>
    <w:uiPriority w:val="9"/>
    <w:qFormat/>
    <w:rsid w:val="007F4AE2"/>
    <w:rPr>
      <w:rFonts w:asciiTheme="majorHAnsi" w:eastAsiaTheme="majorEastAsia" w:hAnsiTheme="majorHAnsi" w:cstheme="majorBidi"/>
      <w:color w:val="2F5496" w:themeColor="accent1" w:themeShade="BF"/>
      <w:kern w:val="0"/>
      <w:sz w:val="32"/>
      <w:szCs w:val="32"/>
    </w:rPr>
  </w:style>
  <w:style w:type="paragraph" w:styleId="Bibliography">
    <w:name w:val="Bibliography"/>
    <w:basedOn w:val="Normal"/>
    <w:next w:val="Normal"/>
    <w:unhideWhenUsed/>
    <w:qFormat/>
    <w:rsid w:val="007F4AE2"/>
  </w:style>
  <w:style w:type="character" w:customStyle="1" w:styleId="UnresolvedMention1">
    <w:name w:val="Unresolved Mention1"/>
    <w:basedOn w:val="DefaultParagraphFont"/>
    <w:uiPriority w:val="99"/>
    <w:unhideWhenUsed/>
    <w:rsid w:val="00026A8A"/>
    <w:rPr>
      <w:color w:val="605E5C"/>
      <w:shd w:val="clear" w:color="auto" w:fill="E1DFDD"/>
    </w:rPr>
  </w:style>
  <w:style w:type="paragraph" w:styleId="ListParagraph">
    <w:name w:val="List Paragraph"/>
    <w:basedOn w:val="Normal"/>
    <w:uiPriority w:val="34"/>
    <w:qFormat/>
    <w:rsid w:val="004A3DF4"/>
    <w:pPr>
      <w:spacing w:after="200" w:line="276" w:lineRule="auto"/>
      <w:ind w:left="720"/>
      <w:contextualSpacing/>
    </w:pPr>
    <w:rPr>
      <w:rFonts w:asciiTheme="minorHAnsi" w:eastAsiaTheme="minorHAnsi" w:hAnsiTheme="minorHAnsi" w:cstheme="minorBidi"/>
      <w:lang w:val="pt-PT"/>
    </w:rPr>
  </w:style>
  <w:style w:type="paragraph" w:styleId="HTMLPreformatted">
    <w:name w:val="HTML Preformatted"/>
    <w:basedOn w:val="Normal"/>
    <w:link w:val="HTMLPreformattedChar"/>
    <w:uiPriority w:val="99"/>
    <w:semiHidden/>
    <w:unhideWhenUsed/>
    <w:rsid w:val="002127A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127A4"/>
    <w:rPr>
      <w:rFonts w:ascii="Consolas" w:eastAsia="Calibri" w:hAnsi="Consolas" w:cs="Times New Roman"/>
      <w:kern w:val="0"/>
      <w:sz w:val="20"/>
      <w:szCs w:val="20"/>
    </w:rPr>
  </w:style>
  <w:style w:type="paragraph" w:customStyle="1" w:styleId="pdq2pgselectionanchorcontainer">
    <w:name w:val="pdq2pg_selectionanchorcontainer"/>
    <w:basedOn w:val="Normal"/>
    <w:rsid w:val="003D4D5F"/>
    <w:pPr>
      <w:spacing w:before="100" w:beforeAutospacing="1" w:after="100" w:afterAutospacing="1" w:line="240" w:lineRule="auto"/>
    </w:pPr>
    <w:rPr>
      <w:rFonts w:ascii="Times New Roman" w:eastAsia="Times New Roman" w:hAnsi="Times New Roman"/>
      <w:sz w:val="24"/>
      <w:szCs w:val="24"/>
      <w:lang w:val="pt-PT" w:eastAsia="pt-PT"/>
    </w:rPr>
  </w:style>
  <w:style w:type="paragraph" w:styleId="NormalWeb">
    <w:name w:val="Normal (Web)"/>
    <w:basedOn w:val="Normal"/>
    <w:uiPriority w:val="99"/>
    <w:unhideWhenUsed/>
    <w:rsid w:val="003D4D5F"/>
    <w:pPr>
      <w:spacing w:before="100" w:beforeAutospacing="1" w:after="100" w:afterAutospacing="1" w:line="240" w:lineRule="auto"/>
    </w:pPr>
    <w:rPr>
      <w:rFonts w:ascii="Times New Roman" w:eastAsia="Times New Roman" w:hAnsi="Times New Roman"/>
      <w:sz w:val="24"/>
      <w:szCs w:val="24"/>
      <w:lang w:val="pt-PT" w:eastAsia="pt-PT"/>
    </w:rPr>
  </w:style>
  <w:style w:type="character" w:styleId="Strong">
    <w:name w:val="Strong"/>
    <w:basedOn w:val="DefaultParagraphFont"/>
    <w:uiPriority w:val="22"/>
    <w:qFormat/>
    <w:rsid w:val="00D15D21"/>
    <w:rPr>
      <w:b/>
      <w:bCs/>
    </w:rPr>
  </w:style>
  <w:style w:type="paragraph" w:styleId="FootnoteText">
    <w:name w:val="footnote text"/>
    <w:basedOn w:val="Normal"/>
    <w:link w:val="FootnoteTextChar"/>
    <w:uiPriority w:val="9"/>
    <w:unhideWhenUsed/>
    <w:qFormat/>
    <w:rsid w:val="00D15D21"/>
    <w:pPr>
      <w:spacing w:after="200" w:line="276" w:lineRule="auto"/>
    </w:pPr>
    <w:rPr>
      <w:rFonts w:eastAsia="SimSun"/>
      <w:sz w:val="20"/>
      <w:szCs w:val="20"/>
      <w:lang w:eastAsia="zh-CN"/>
    </w:rPr>
  </w:style>
  <w:style w:type="character" w:customStyle="1" w:styleId="FootnoteTextChar">
    <w:name w:val="Footnote Text Char"/>
    <w:basedOn w:val="DefaultParagraphFont"/>
    <w:link w:val="FootnoteText"/>
    <w:uiPriority w:val="99"/>
    <w:semiHidden/>
    <w:rsid w:val="00D15D21"/>
    <w:rPr>
      <w:rFonts w:ascii="Calibri" w:eastAsia="SimSun" w:hAnsi="Calibri" w:cs="Times New Roman"/>
      <w:kern w:val="0"/>
      <w:sz w:val="20"/>
      <w:szCs w:val="20"/>
      <w:lang w:eastAsia="zh-CN"/>
    </w:rPr>
  </w:style>
  <w:style w:type="character" w:styleId="FootnoteReference">
    <w:name w:val="footnote reference"/>
    <w:unhideWhenUsed/>
    <w:rsid w:val="00D15D21"/>
    <w:rPr>
      <w:vertAlign w:val="superscript"/>
    </w:rPr>
  </w:style>
  <w:style w:type="character" w:styleId="Emphasis">
    <w:name w:val="Emphasis"/>
    <w:basedOn w:val="DefaultParagraphFont"/>
    <w:uiPriority w:val="20"/>
    <w:qFormat/>
    <w:rsid w:val="00FD0FF8"/>
    <w:rPr>
      <w:i/>
      <w:iCs/>
    </w:rPr>
  </w:style>
  <w:style w:type="paragraph" w:styleId="Header">
    <w:name w:val="header"/>
    <w:basedOn w:val="Normal"/>
    <w:link w:val="HeaderChar"/>
    <w:uiPriority w:val="99"/>
    <w:unhideWhenUsed/>
    <w:qFormat/>
    <w:rsid w:val="00C666F3"/>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C666F3"/>
    <w:rPr>
      <w:rFonts w:ascii="Calibri" w:eastAsia="Calibri" w:hAnsi="Calibri" w:cs="Times New Roman"/>
      <w:kern w:val="0"/>
    </w:rPr>
  </w:style>
  <w:style w:type="paragraph" w:styleId="Footer">
    <w:name w:val="footer"/>
    <w:basedOn w:val="Normal"/>
    <w:link w:val="FooterChar"/>
    <w:uiPriority w:val="99"/>
    <w:unhideWhenUsed/>
    <w:qFormat/>
    <w:rsid w:val="00C666F3"/>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C666F3"/>
    <w:rPr>
      <w:rFonts w:ascii="Calibri" w:eastAsia="Calibri" w:hAnsi="Calibri" w:cs="Times New Roman"/>
      <w:kern w:val="0"/>
    </w:rPr>
  </w:style>
  <w:style w:type="character" w:customStyle="1" w:styleId="UnresolvedMention2">
    <w:name w:val="Unresolved Mention2"/>
    <w:basedOn w:val="DefaultParagraphFont"/>
    <w:uiPriority w:val="99"/>
    <w:semiHidden/>
    <w:unhideWhenUsed/>
    <w:rsid w:val="00C666F3"/>
    <w:rPr>
      <w:color w:val="605E5C"/>
      <w:shd w:val="clear" w:color="auto" w:fill="E1DFDD"/>
    </w:rPr>
  </w:style>
  <w:style w:type="character" w:customStyle="1" w:styleId="Hyperlink1">
    <w:name w:val="Hyperlink1"/>
    <w:uiPriority w:val="99"/>
    <w:qFormat/>
    <w:rsid w:val="00C666F3"/>
    <w:rPr>
      <w:color w:val="0563C1"/>
      <w:u w:val="single"/>
    </w:rPr>
  </w:style>
  <w:style w:type="paragraph" w:styleId="NoSpacing">
    <w:name w:val="No Spacing"/>
    <w:aliases w:val="body"/>
    <w:link w:val="NoSpacingChar"/>
    <w:uiPriority w:val="1"/>
    <w:qFormat/>
    <w:rsid w:val="00906ADB"/>
    <w:pPr>
      <w:bidi/>
      <w:spacing w:after="0" w:line="240" w:lineRule="auto"/>
    </w:pPr>
  </w:style>
  <w:style w:type="character" w:customStyle="1" w:styleId="Heading2Char">
    <w:name w:val="Heading 2 Char"/>
    <w:basedOn w:val="DefaultParagraphFont"/>
    <w:link w:val="Heading2"/>
    <w:uiPriority w:val="9"/>
    <w:qFormat/>
    <w:rsid w:val="00DA689F"/>
    <w:rPr>
      <w:rFonts w:asciiTheme="majorHAnsi" w:eastAsiaTheme="majorEastAsia" w:hAnsiTheme="majorHAnsi" w:cstheme="majorBidi"/>
      <w:b/>
      <w:bCs/>
      <w:color w:val="4472C4" w:themeColor="accent1"/>
      <w:kern w:val="0"/>
      <w:sz w:val="26"/>
      <w:szCs w:val="26"/>
    </w:rPr>
  </w:style>
  <w:style w:type="character" w:customStyle="1" w:styleId="Heading4Char">
    <w:name w:val="Heading 4 Char"/>
    <w:basedOn w:val="DefaultParagraphFont"/>
    <w:link w:val="Heading4"/>
    <w:uiPriority w:val="9"/>
    <w:rsid w:val="00DA689F"/>
    <w:rPr>
      <w:rFonts w:asciiTheme="majorHAnsi" w:eastAsiaTheme="majorEastAsia" w:hAnsiTheme="majorHAnsi" w:cstheme="majorBidi"/>
      <w:b/>
      <w:bCs/>
      <w:i/>
      <w:iCs/>
      <w:color w:val="4472C4" w:themeColor="accent1"/>
      <w:kern w:val="0"/>
    </w:rPr>
  </w:style>
  <w:style w:type="character" w:customStyle="1" w:styleId="Heading5Char">
    <w:name w:val="Heading 5 Char"/>
    <w:basedOn w:val="DefaultParagraphFont"/>
    <w:link w:val="Heading5"/>
    <w:uiPriority w:val="9"/>
    <w:rsid w:val="00DA689F"/>
    <w:rPr>
      <w:rFonts w:asciiTheme="majorHAnsi" w:eastAsiaTheme="majorEastAsia" w:hAnsiTheme="majorHAnsi" w:cstheme="majorBidi"/>
      <w:color w:val="1F3763" w:themeColor="accent1" w:themeShade="7F"/>
      <w:kern w:val="0"/>
    </w:rPr>
  </w:style>
  <w:style w:type="character" w:customStyle="1" w:styleId="Heading3Char">
    <w:name w:val="Heading 3 Char"/>
    <w:basedOn w:val="DefaultParagraphFont"/>
    <w:link w:val="Heading3"/>
    <w:uiPriority w:val="9"/>
    <w:qFormat/>
    <w:rsid w:val="00DA689F"/>
    <w:rPr>
      <w:rFonts w:ascii="Times New Roman" w:eastAsia="Times New Roman" w:hAnsi="Times New Roman" w:cs="Times New Roman"/>
      <w:b/>
      <w:kern w:val="0"/>
      <w:sz w:val="24"/>
      <w:szCs w:val="24"/>
    </w:rPr>
  </w:style>
  <w:style w:type="character" w:customStyle="1" w:styleId="Heading6Char">
    <w:name w:val="Heading 6 Char"/>
    <w:basedOn w:val="DefaultParagraphFont"/>
    <w:link w:val="Heading6"/>
    <w:uiPriority w:val="9"/>
    <w:rsid w:val="00DA689F"/>
    <w:rPr>
      <w:rFonts w:asciiTheme="majorHAnsi" w:eastAsiaTheme="majorEastAsia" w:hAnsiTheme="majorHAnsi" w:cstheme="majorBidi"/>
      <w:color w:val="1F3763" w:themeColor="accent1" w:themeShade="7F"/>
      <w:kern w:val="0"/>
      <w:sz w:val="24"/>
      <w:szCs w:val="24"/>
    </w:rPr>
  </w:style>
  <w:style w:type="character" w:customStyle="1" w:styleId="Heading7Char">
    <w:name w:val="Heading 7 Char"/>
    <w:basedOn w:val="DefaultParagraphFont"/>
    <w:link w:val="Heading7"/>
    <w:uiPriority w:val="9"/>
    <w:rsid w:val="00DA689F"/>
    <w:rPr>
      <w:rFonts w:asciiTheme="majorHAnsi" w:eastAsiaTheme="majorEastAsia" w:hAnsiTheme="majorHAnsi" w:cstheme="majorBidi"/>
      <w:i/>
      <w:iCs/>
      <w:color w:val="1F3763" w:themeColor="accent1" w:themeShade="7F"/>
      <w:kern w:val="0"/>
      <w:sz w:val="24"/>
      <w:szCs w:val="24"/>
    </w:rPr>
  </w:style>
  <w:style w:type="character" w:customStyle="1" w:styleId="Heading8Char">
    <w:name w:val="Heading 8 Char"/>
    <w:basedOn w:val="DefaultParagraphFont"/>
    <w:link w:val="Heading8"/>
    <w:uiPriority w:val="9"/>
    <w:rsid w:val="00DA689F"/>
    <w:rPr>
      <w:rFonts w:asciiTheme="majorHAnsi" w:eastAsiaTheme="majorEastAsia" w:hAnsiTheme="majorHAnsi" w:cstheme="majorBidi"/>
      <w:color w:val="272727" w:themeColor="text1" w:themeTint="D8"/>
      <w:kern w:val="0"/>
      <w:sz w:val="21"/>
      <w:szCs w:val="21"/>
    </w:rPr>
  </w:style>
  <w:style w:type="character" w:customStyle="1" w:styleId="Heading9Char">
    <w:name w:val="Heading 9 Char"/>
    <w:basedOn w:val="DefaultParagraphFont"/>
    <w:link w:val="Heading9"/>
    <w:uiPriority w:val="9"/>
    <w:rsid w:val="00DA689F"/>
    <w:rPr>
      <w:rFonts w:asciiTheme="majorHAnsi" w:eastAsiaTheme="majorEastAsia" w:hAnsiTheme="majorHAnsi" w:cstheme="majorBidi"/>
      <w:i/>
      <w:iCs/>
      <w:color w:val="272727" w:themeColor="text1" w:themeTint="D8"/>
      <w:kern w:val="0"/>
      <w:sz w:val="21"/>
      <w:szCs w:val="21"/>
    </w:rPr>
  </w:style>
  <w:style w:type="paragraph" w:customStyle="1" w:styleId="Default">
    <w:name w:val="Default"/>
    <w:qFormat/>
    <w:rsid w:val="00DA689F"/>
    <w:pPr>
      <w:autoSpaceDE w:val="0"/>
      <w:autoSpaceDN w:val="0"/>
      <w:adjustRightInd w:val="0"/>
      <w:spacing w:before="100" w:beforeAutospacing="1" w:after="240" w:line="240" w:lineRule="auto"/>
      <w:jc w:val="both"/>
    </w:pPr>
    <w:rPr>
      <w:rFonts w:ascii="Dutch801 Rm BT" w:hAnsi="Dutch801 Rm BT" w:cs="Dutch801 Rm BT"/>
      <w:color w:val="000000"/>
      <w:kern w:val="0"/>
      <w:sz w:val="24"/>
      <w:szCs w:val="24"/>
    </w:rPr>
  </w:style>
  <w:style w:type="paragraph" w:styleId="BodyText">
    <w:name w:val="Body Text"/>
    <w:basedOn w:val="Normal"/>
    <w:link w:val="BodyTextChar"/>
    <w:qFormat/>
    <w:rsid w:val="00DA689F"/>
    <w:pPr>
      <w:widowControl w:val="0"/>
      <w:autoSpaceDE w:val="0"/>
      <w:autoSpaceDN w:val="0"/>
      <w:spacing w:before="100" w:beforeAutospacing="1" w:after="240" w:line="240" w:lineRule="auto"/>
      <w:jc w:val="both"/>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DA689F"/>
    <w:rPr>
      <w:rFonts w:ascii="Times New Roman" w:eastAsia="Times New Roman" w:hAnsi="Times New Roman" w:cs="Times New Roman"/>
      <w:kern w:val="0"/>
      <w:sz w:val="24"/>
      <w:szCs w:val="24"/>
    </w:rPr>
  </w:style>
  <w:style w:type="character" w:styleId="PlaceholderText">
    <w:name w:val="Placeholder Text"/>
    <w:basedOn w:val="DefaultParagraphFont"/>
    <w:uiPriority w:val="99"/>
    <w:semiHidden/>
    <w:qFormat/>
    <w:rsid w:val="00DA689F"/>
    <w:rPr>
      <w:color w:val="808080"/>
    </w:rPr>
  </w:style>
  <w:style w:type="character" w:customStyle="1" w:styleId="ref-lnk">
    <w:name w:val="ref-lnk"/>
    <w:basedOn w:val="DefaultParagraphFont"/>
    <w:rsid w:val="00DA689F"/>
  </w:style>
  <w:style w:type="character" w:customStyle="1" w:styleId="off-screen">
    <w:name w:val="off-screen"/>
    <w:basedOn w:val="DefaultParagraphFont"/>
    <w:rsid w:val="00DA689F"/>
  </w:style>
  <w:style w:type="paragraph" w:styleId="BalloonText">
    <w:name w:val="Balloon Text"/>
    <w:basedOn w:val="Normal"/>
    <w:link w:val="BalloonTextChar"/>
    <w:uiPriority w:val="99"/>
    <w:semiHidden/>
    <w:unhideWhenUsed/>
    <w:rsid w:val="00DA689F"/>
    <w:pPr>
      <w:spacing w:before="100" w:beforeAutospacing="1" w:after="240" w:line="240" w:lineRule="auto"/>
      <w:jc w:val="both"/>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DA689F"/>
    <w:rPr>
      <w:rFonts w:ascii="Segoe UI" w:hAnsi="Segoe UI" w:cs="Segoe UI"/>
      <w:kern w:val="0"/>
      <w:sz w:val="18"/>
      <w:szCs w:val="18"/>
    </w:rPr>
  </w:style>
  <w:style w:type="table" w:styleId="TableGrid">
    <w:name w:val="Table Grid"/>
    <w:basedOn w:val="TableNormal"/>
    <w:uiPriority w:val="39"/>
    <w:qFormat/>
    <w:rsid w:val="00DA689F"/>
    <w:pPr>
      <w:spacing w:before="100" w:beforeAutospacing="1" w:after="240" w:line="240" w:lineRule="auto"/>
      <w:jc w:val="both"/>
    </w:pPr>
    <w:rPr>
      <w:kern w:val="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heading">
    <w:name w:val="a_heading"/>
    <w:basedOn w:val="DefaultParagraphFont"/>
    <w:rsid w:val="00DA689F"/>
  </w:style>
  <w:style w:type="character" w:customStyle="1" w:styleId="bheading">
    <w:name w:val="b_heading"/>
    <w:basedOn w:val="DefaultParagraphFont"/>
    <w:rsid w:val="00DA689F"/>
  </w:style>
  <w:style w:type="character" w:customStyle="1" w:styleId="italic">
    <w:name w:val="italic"/>
    <w:basedOn w:val="DefaultParagraphFont"/>
    <w:rsid w:val="00DA689F"/>
  </w:style>
  <w:style w:type="character" w:customStyle="1" w:styleId="supref">
    <w:name w:val="sup_ref"/>
    <w:basedOn w:val="DefaultParagraphFont"/>
    <w:rsid w:val="00DA689F"/>
  </w:style>
  <w:style w:type="paragraph" w:customStyle="1" w:styleId="otherpara">
    <w:name w:val="otherpara"/>
    <w:basedOn w:val="Normal"/>
    <w:rsid w:val="00DA689F"/>
    <w:pPr>
      <w:spacing w:before="100" w:beforeAutospacing="1" w:after="100" w:afterAutospacing="1" w:line="240" w:lineRule="auto"/>
      <w:jc w:val="both"/>
    </w:pPr>
    <w:rPr>
      <w:rFonts w:ascii="Times New Roman" w:eastAsia="Times New Roman" w:hAnsi="Times New Roman"/>
      <w:sz w:val="24"/>
      <w:szCs w:val="24"/>
    </w:rPr>
  </w:style>
  <w:style w:type="character" w:customStyle="1" w:styleId="figtext">
    <w:name w:val="figtext"/>
    <w:basedOn w:val="DefaultParagraphFont"/>
    <w:rsid w:val="00DA689F"/>
  </w:style>
  <w:style w:type="character" w:customStyle="1" w:styleId="xref">
    <w:name w:val="xref"/>
    <w:basedOn w:val="DefaultParagraphFont"/>
    <w:rsid w:val="00DA689F"/>
  </w:style>
  <w:style w:type="character" w:customStyle="1" w:styleId="sec-title">
    <w:name w:val="sec-title"/>
    <w:basedOn w:val="DefaultParagraphFont"/>
    <w:rsid w:val="00DA689F"/>
  </w:style>
  <w:style w:type="table" w:customStyle="1" w:styleId="PlainTable11">
    <w:name w:val="Plain Table 11"/>
    <w:basedOn w:val="TableNormal"/>
    <w:uiPriority w:val="41"/>
    <w:rsid w:val="00DA689F"/>
    <w:pPr>
      <w:spacing w:before="100" w:beforeAutospacing="1" w:after="240" w:line="240" w:lineRule="auto"/>
      <w:jc w:val="both"/>
    </w:pPr>
    <w:rPr>
      <w:kern w:val="0"/>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uiPriority w:val="40"/>
    <w:rsid w:val="00DA689F"/>
    <w:pPr>
      <w:spacing w:before="100" w:beforeAutospacing="1" w:after="240" w:line="240" w:lineRule="auto"/>
      <w:jc w:val="both"/>
    </w:pPr>
    <w:rPr>
      <w:kern w:val="0"/>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31">
    <w:name w:val="Plain Table 31"/>
    <w:basedOn w:val="TableNormal"/>
    <w:uiPriority w:val="43"/>
    <w:rsid w:val="00DA689F"/>
    <w:pPr>
      <w:spacing w:before="100" w:beforeAutospacing="1" w:after="240" w:line="240" w:lineRule="auto"/>
      <w:jc w:val="both"/>
    </w:pPr>
    <w:rPr>
      <w:kern w:val="0"/>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gkelc">
    <w:name w:val="hgkelc"/>
    <w:basedOn w:val="DefaultParagraphFont"/>
    <w:rsid w:val="00DA689F"/>
  </w:style>
  <w:style w:type="paragraph" w:styleId="Caption">
    <w:name w:val="caption"/>
    <w:aliases w:val="Figures,Caption Table,Hinh Bang,Caption +13 pt,Caption hinh,Caption Char1 Char,Caption Char Char Char,Caption Char1 Char Char1 Char,Caption Char Char Char Char1 Char,Caption Char1 Char Char Char Char,Caption Char Char Char Char Char Cha"/>
    <w:basedOn w:val="Normal"/>
    <w:next w:val="Normal"/>
    <w:link w:val="CaptionChar"/>
    <w:qFormat/>
    <w:rsid w:val="00DA689F"/>
    <w:pPr>
      <w:spacing w:before="100" w:beforeAutospacing="1" w:after="200" w:line="240" w:lineRule="auto"/>
      <w:jc w:val="both"/>
    </w:pPr>
    <w:rPr>
      <w:rFonts w:ascii="Times New Roman" w:hAnsi="Times New Roman"/>
      <w:b/>
      <w:iCs/>
      <w:sz w:val="24"/>
      <w:szCs w:val="24"/>
    </w:rPr>
  </w:style>
  <w:style w:type="character" w:customStyle="1" w:styleId="anchor-text">
    <w:name w:val="anchor-text"/>
    <w:basedOn w:val="DefaultParagraphFont"/>
    <w:rsid w:val="00DA689F"/>
  </w:style>
  <w:style w:type="character" w:customStyle="1" w:styleId="label">
    <w:name w:val="label"/>
    <w:basedOn w:val="DefaultParagraphFont"/>
    <w:rsid w:val="00DA689F"/>
  </w:style>
  <w:style w:type="character" w:customStyle="1" w:styleId="mathjaxsvg">
    <w:name w:val="mathjax_svg"/>
    <w:basedOn w:val="DefaultParagraphFont"/>
    <w:rsid w:val="00DA689F"/>
  </w:style>
  <w:style w:type="character" w:customStyle="1" w:styleId="mjxassistivemathml">
    <w:name w:val="mjx_assistive_mathml"/>
    <w:basedOn w:val="DefaultParagraphFont"/>
    <w:rsid w:val="00DA689F"/>
  </w:style>
  <w:style w:type="table" w:customStyle="1" w:styleId="GridTable1Light1">
    <w:name w:val="Grid Table 1 Light1"/>
    <w:basedOn w:val="TableNormal"/>
    <w:uiPriority w:val="46"/>
    <w:rsid w:val="00DA689F"/>
    <w:pPr>
      <w:spacing w:before="100" w:beforeAutospacing="1" w:after="240" w:line="240" w:lineRule="auto"/>
      <w:jc w:val="both"/>
    </w:pPr>
    <w:rPr>
      <w:kern w:val="0"/>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Heading">
    <w:name w:val="TOC Heading"/>
    <w:basedOn w:val="Heading1"/>
    <w:next w:val="Normal"/>
    <w:uiPriority w:val="39"/>
    <w:unhideWhenUsed/>
    <w:qFormat/>
    <w:rsid w:val="00DA689F"/>
    <w:pPr>
      <w:spacing w:beforeAutospacing="1" w:after="240"/>
      <w:jc w:val="both"/>
      <w:outlineLvl w:val="9"/>
    </w:pPr>
  </w:style>
  <w:style w:type="paragraph" w:styleId="TOC1">
    <w:name w:val="toc 1"/>
    <w:basedOn w:val="Normal"/>
    <w:next w:val="Normal"/>
    <w:autoRedefine/>
    <w:uiPriority w:val="39"/>
    <w:unhideWhenUsed/>
    <w:rsid w:val="00DA689F"/>
    <w:pPr>
      <w:spacing w:before="360" w:beforeAutospacing="1" w:after="240" w:line="240" w:lineRule="auto"/>
      <w:jc w:val="both"/>
    </w:pPr>
    <w:rPr>
      <w:rFonts w:asciiTheme="majorHAnsi" w:eastAsiaTheme="minorHAnsi" w:hAnsiTheme="majorHAnsi" w:cstheme="majorHAnsi"/>
      <w:b/>
      <w:bCs/>
      <w:caps/>
      <w:sz w:val="24"/>
      <w:szCs w:val="24"/>
    </w:rPr>
  </w:style>
  <w:style w:type="paragraph" w:styleId="TOC2">
    <w:name w:val="toc 2"/>
    <w:basedOn w:val="Normal"/>
    <w:next w:val="Normal"/>
    <w:autoRedefine/>
    <w:uiPriority w:val="39"/>
    <w:unhideWhenUsed/>
    <w:rsid w:val="00DA689F"/>
    <w:pPr>
      <w:spacing w:before="240" w:beforeAutospacing="1" w:after="240" w:line="240" w:lineRule="auto"/>
      <w:jc w:val="both"/>
    </w:pPr>
    <w:rPr>
      <w:rFonts w:asciiTheme="minorHAnsi" w:eastAsiaTheme="minorHAnsi" w:hAnsiTheme="minorHAnsi" w:cstheme="minorHAnsi"/>
      <w:b/>
      <w:bCs/>
      <w:sz w:val="20"/>
      <w:szCs w:val="20"/>
    </w:rPr>
  </w:style>
  <w:style w:type="paragraph" w:styleId="TOC3">
    <w:name w:val="toc 3"/>
    <w:basedOn w:val="Normal"/>
    <w:next w:val="Normal"/>
    <w:autoRedefine/>
    <w:uiPriority w:val="39"/>
    <w:unhideWhenUsed/>
    <w:rsid w:val="00DA689F"/>
    <w:pPr>
      <w:spacing w:before="100" w:beforeAutospacing="1" w:after="240" w:line="240" w:lineRule="auto"/>
      <w:ind w:left="240"/>
      <w:jc w:val="both"/>
    </w:pPr>
    <w:rPr>
      <w:rFonts w:asciiTheme="minorHAnsi" w:eastAsiaTheme="minorHAnsi" w:hAnsiTheme="minorHAnsi" w:cstheme="minorHAnsi"/>
      <w:sz w:val="20"/>
      <w:szCs w:val="20"/>
    </w:rPr>
  </w:style>
  <w:style w:type="paragraph" w:styleId="TableofFigures">
    <w:name w:val="table of figures"/>
    <w:basedOn w:val="Normal"/>
    <w:next w:val="Normal"/>
    <w:autoRedefine/>
    <w:uiPriority w:val="99"/>
    <w:unhideWhenUsed/>
    <w:qFormat/>
    <w:rsid w:val="00DA689F"/>
    <w:pPr>
      <w:spacing w:before="100" w:beforeAutospacing="1" w:after="120" w:line="240" w:lineRule="auto"/>
      <w:jc w:val="both"/>
    </w:pPr>
    <w:rPr>
      <w:rFonts w:ascii="Times New Roman" w:eastAsiaTheme="minorHAnsi" w:hAnsi="Times New Roman" w:cstheme="minorBidi"/>
      <w:sz w:val="24"/>
      <w:szCs w:val="24"/>
    </w:rPr>
  </w:style>
  <w:style w:type="paragraph" w:styleId="Title">
    <w:name w:val="Title"/>
    <w:basedOn w:val="Normal"/>
    <w:next w:val="Normal"/>
    <w:link w:val="TitleChar"/>
    <w:uiPriority w:val="10"/>
    <w:qFormat/>
    <w:rsid w:val="00DA689F"/>
    <w:pPr>
      <w:spacing w:before="100" w:beforeAutospacing="1" w:after="240" w:line="240" w:lineRule="auto"/>
      <w:contextualSpacing/>
      <w:jc w:val="both"/>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689F"/>
    <w:rPr>
      <w:rFonts w:asciiTheme="majorHAnsi" w:eastAsiaTheme="majorEastAsia" w:hAnsiTheme="majorHAnsi" w:cstheme="majorBidi"/>
      <w:spacing w:val="-10"/>
      <w:kern w:val="28"/>
      <w:sz w:val="56"/>
      <w:szCs w:val="56"/>
    </w:rPr>
  </w:style>
  <w:style w:type="character" w:customStyle="1" w:styleId="A2">
    <w:name w:val="A2"/>
    <w:uiPriority w:val="99"/>
    <w:rsid w:val="00DA689F"/>
    <w:rPr>
      <w:rFonts w:cs="Minion Pro"/>
      <w:color w:val="000000"/>
      <w:sz w:val="18"/>
      <w:szCs w:val="18"/>
    </w:rPr>
  </w:style>
  <w:style w:type="table" w:customStyle="1" w:styleId="GridTable1Light-Accent31">
    <w:name w:val="Grid Table 1 Light - Accent 31"/>
    <w:basedOn w:val="TableNormal"/>
    <w:uiPriority w:val="46"/>
    <w:rsid w:val="00DA689F"/>
    <w:pPr>
      <w:spacing w:before="100" w:beforeAutospacing="1" w:after="240" w:line="240" w:lineRule="auto"/>
      <w:jc w:val="both"/>
    </w:pPr>
    <w:rPr>
      <w:kern w:val="0"/>
      <w:sz w:val="24"/>
      <w:szCs w:val="24"/>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numbering" w:customStyle="1" w:styleId="NoList1">
    <w:name w:val="No List1"/>
    <w:next w:val="NoList"/>
    <w:uiPriority w:val="99"/>
    <w:semiHidden/>
    <w:unhideWhenUsed/>
    <w:rsid w:val="00DA689F"/>
  </w:style>
  <w:style w:type="table" w:customStyle="1" w:styleId="TableGrid1">
    <w:name w:val="Table Grid1"/>
    <w:basedOn w:val="TableNormal"/>
    <w:next w:val="TableGrid"/>
    <w:uiPriority w:val="39"/>
    <w:qFormat/>
    <w:rsid w:val="00DA689F"/>
    <w:pPr>
      <w:spacing w:before="100" w:beforeAutospacing="1" w:after="240" w:line="240" w:lineRule="auto"/>
      <w:jc w:val="both"/>
    </w:pPr>
    <w:rPr>
      <w:kern w:val="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0">
    <w:name w:val="Plain Table 11"/>
    <w:basedOn w:val="TableNormal"/>
    <w:next w:val="PlainTable11"/>
    <w:uiPriority w:val="41"/>
    <w:rsid w:val="00DA689F"/>
    <w:pPr>
      <w:spacing w:before="100" w:beforeAutospacing="1" w:after="240" w:line="240" w:lineRule="auto"/>
      <w:jc w:val="both"/>
    </w:pPr>
    <w:rPr>
      <w:kern w:val="0"/>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0">
    <w:name w:val="Table Grid Light1"/>
    <w:basedOn w:val="TableNormal"/>
    <w:next w:val="TableGridLight1"/>
    <w:uiPriority w:val="40"/>
    <w:rsid w:val="00DA689F"/>
    <w:pPr>
      <w:spacing w:before="100" w:beforeAutospacing="1" w:after="240" w:line="240" w:lineRule="auto"/>
      <w:jc w:val="both"/>
    </w:pPr>
    <w:rPr>
      <w:kern w:val="0"/>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310">
    <w:name w:val="Plain Table 31"/>
    <w:basedOn w:val="TableNormal"/>
    <w:next w:val="PlainTable31"/>
    <w:uiPriority w:val="43"/>
    <w:rsid w:val="00DA689F"/>
    <w:pPr>
      <w:spacing w:before="100" w:beforeAutospacing="1" w:after="240" w:line="240" w:lineRule="auto"/>
      <w:jc w:val="both"/>
    </w:pPr>
    <w:rPr>
      <w:kern w:val="0"/>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1Light10">
    <w:name w:val="Grid Table 1 Light1"/>
    <w:basedOn w:val="TableNormal"/>
    <w:next w:val="GridTable1Light1"/>
    <w:uiPriority w:val="46"/>
    <w:rsid w:val="00DA689F"/>
    <w:pPr>
      <w:spacing w:before="100" w:beforeAutospacing="1" w:after="240" w:line="240" w:lineRule="auto"/>
      <w:jc w:val="both"/>
    </w:pPr>
    <w:rPr>
      <w:kern w:val="0"/>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DA689F"/>
    <w:pPr>
      <w:spacing w:before="100" w:beforeAutospacing="1" w:after="240" w:line="240" w:lineRule="auto"/>
      <w:jc w:val="both"/>
    </w:pPr>
    <w:rPr>
      <w:kern w:val="0"/>
      <w:sz w:val="24"/>
      <w:szCs w:val="24"/>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artbyline">
    <w:name w:val="artbyline"/>
    <w:basedOn w:val="DefaultParagraphFont"/>
    <w:rsid w:val="00DA689F"/>
  </w:style>
  <w:style w:type="table" w:customStyle="1" w:styleId="TableGrid11">
    <w:name w:val="Table Grid11"/>
    <w:basedOn w:val="TableNormal"/>
    <w:uiPriority w:val="59"/>
    <w:rsid w:val="00DA689F"/>
    <w:pPr>
      <w:spacing w:before="100" w:beforeAutospacing="1" w:after="240" w:line="240" w:lineRule="auto"/>
      <w:jc w:val="both"/>
    </w:pPr>
    <w:rPr>
      <w:rFonts w:eastAsia="Times New Roman"/>
      <w:kern w:val="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11">
    <w:name w:val="A11"/>
    <w:uiPriority w:val="99"/>
    <w:rsid w:val="00DA689F"/>
    <w:rPr>
      <w:rFonts w:cs="Cambria"/>
      <w:color w:val="000000"/>
      <w:sz w:val="18"/>
      <w:szCs w:val="18"/>
    </w:rPr>
  </w:style>
  <w:style w:type="table" w:customStyle="1" w:styleId="GridTable1Light-Accent110">
    <w:name w:val="Grid Table 1 Light - Accent 11"/>
    <w:basedOn w:val="TableNormal"/>
    <w:next w:val="GridTable1Light-Accent11"/>
    <w:uiPriority w:val="46"/>
    <w:rsid w:val="00DA689F"/>
    <w:pPr>
      <w:spacing w:before="100" w:beforeAutospacing="1" w:after="240" w:line="240" w:lineRule="auto"/>
      <w:jc w:val="both"/>
    </w:pPr>
    <w:rPr>
      <w:kern w:val="0"/>
      <w:sz w:val="24"/>
      <w:szCs w:val="24"/>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12">
    <w:name w:val="Grid Table 1 Light - Accent 12"/>
    <w:basedOn w:val="TableNormal"/>
    <w:next w:val="GridTable1Light-Accent11"/>
    <w:uiPriority w:val="46"/>
    <w:rsid w:val="00DA689F"/>
    <w:pPr>
      <w:spacing w:before="100" w:beforeAutospacing="1" w:after="240" w:line="240" w:lineRule="auto"/>
      <w:jc w:val="both"/>
    </w:pPr>
    <w:rPr>
      <w:kern w:val="0"/>
      <w:sz w:val="24"/>
      <w:szCs w:val="24"/>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13">
    <w:name w:val="Grid Table 1 Light - Accent 13"/>
    <w:basedOn w:val="TableNormal"/>
    <w:next w:val="GridTable1Light-Accent11"/>
    <w:uiPriority w:val="46"/>
    <w:rsid w:val="00DA689F"/>
    <w:pPr>
      <w:spacing w:before="100" w:beforeAutospacing="1" w:after="240" w:line="240" w:lineRule="auto"/>
      <w:jc w:val="both"/>
    </w:pPr>
    <w:rPr>
      <w:kern w:val="0"/>
      <w:sz w:val="24"/>
      <w:szCs w:val="24"/>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PlainTable12">
    <w:name w:val="Plain Table 12"/>
    <w:basedOn w:val="TableNormal"/>
    <w:next w:val="PlainTable11"/>
    <w:uiPriority w:val="41"/>
    <w:rsid w:val="00DA689F"/>
    <w:pPr>
      <w:spacing w:before="100" w:beforeAutospacing="1" w:after="240" w:line="240" w:lineRule="auto"/>
      <w:jc w:val="both"/>
    </w:pPr>
    <w:rPr>
      <w:kern w:val="0"/>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3">
    <w:name w:val="Plain Table 13"/>
    <w:basedOn w:val="TableNormal"/>
    <w:next w:val="PlainTable11"/>
    <w:uiPriority w:val="41"/>
    <w:rsid w:val="00DA689F"/>
    <w:pPr>
      <w:spacing w:before="100" w:beforeAutospacing="1" w:after="240" w:line="240" w:lineRule="auto"/>
      <w:jc w:val="both"/>
    </w:pPr>
    <w:rPr>
      <w:kern w:val="0"/>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4">
    <w:name w:val="Plain Table 14"/>
    <w:basedOn w:val="TableNormal"/>
    <w:next w:val="PlainTable11"/>
    <w:uiPriority w:val="41"/>
    <w:rsid w:val="00DA689F"/>
    <w:pPr>
      <w:spacing w:before="100" w:beforeAutospacing="1" w:after="240" w:line="240" w:lineRule="auto"/>
      <w:jc w:val="both"/>
    </w:pPr>
    <w:rPr>
      <w:kern w:val="0"/>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ubtitle">
    <w:name w:val="Subtitle"/>
    <w:basedOn w:val="Normal"/>
    <w:next w:val="Normal"/>
    <w:link w:val="SubtitleChar"/>
    <w:uiPriority w:val="11"/>
    <w:qFormat/>
    <w:rsid w:val="00DA689F"/>
    <w:pPr>
      <w:numPr>
        <w:ilvl w:val="1"/>
      </w:numPr>
      <w:spacing w:before="100" w:beforeAutospacing="1" w:line="278" w:lineRule="auto"/>
      <w:jc w:val="both"/>
    </w:pPr>
    <w:rPr>
      <w:rFonts w:ascii="Times New Roman" w:eastAsiaTheme="majorEastAsia" w:hAnsi="Times New Roman"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qFormat/>
    <w:rsid w:val="00DA689F"/>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DA689F"/>
    <w:pPr>
      <w:spacing w:before="160" w:beforeAutospacing="1" w:line="278" w:lineRule="auto"/>
      <w:jc w:val="center"/>
    </w:pPr>
    <w:rPr>
      <w:rFonts w:ascii="Times New Roman" w:eastAsiaTheme="minorEastAsia" w:hAnsi="Times New Roman" w:cstheme="minorBidi"/>
      <w:i/>
      <w:iCs/>
      <w:color w:val="404040" w:themeColor="text1" w:themeTint="BF"/>
      <w:kern w:val="2"/>
      <w:sz w:val="24"/>
      <w:szCs w:val="24"/>
    </w:rPr>
  </w:style>
  <w:style w:type="character" w:customStyle="1" w:styleId="QuoteChar">
    <w:name w:val="Quote Char"/>
    <w:basedOn w:val="DefaultParagraphFont"/>
    <w:link w:val="Quote"/>
    <w:uiPriority w:val="29"/>
    <w:rsid w:val="00DA689F"/>
    <w:rPr>
      <w:rFonts w:ascii="Times New Roman" w:eastAsiaTheme="minorEastAsia" w:hAnsi="Times New Roman"/>
      <w:i/>
      <w:iCs/>
      <w:color w:val="404040" w:themeColor="text1" w:themeTint="BF"/>
      <w:sz w:val="24"/>
      <w:szCs w:val="24"/>
    </w:rPr>
  </w:style>
  <w:style w:type="character" w:styleId="IntenseEmphasis">
    <w:name w:val="Intense Emphasis"/>
    <w:basedOn w:val="DefaultParagraphFont"/>
    <w:uiPriority w:val="21"/>
    <w:qFormat/>
    <w:rsid w:val="00DA689F"/>
    <w:rPr>
      <w:i/>
      <w:iCs/>
      <w:color w:val="2F5496" w:themeColor="accent1" w:themeShade="BF"/>
    </w:rPr>
  </w:style>
  <w:style w:type="paragraph" w:styleId="IntenseQuote">
    <w:name w:val="Intense Quote"/>
    <w:basedOn w:val="Normal"/>
    <w:next w:val="Normal"/>
    <w:link w:val="IntenseQuoteChar"/>
    <w:uiPriority w:val="30"/>
    <w:qFormat/>
    <w:rsid w:val="00DA689F"/>
    <w:pPr>
      <w:pBdr>
        <w:top w:val="single" w:sz="4" w:space="10" w:color="2F5496" w:themeColor="accent1" w:themeShade="BF"/>
        <w:bottom w:val="single" w:sz="4" w:space="10" w:color="2F5496" w:themeColor="accent1" w:themeShade="BF"/>
      </w:pBdr>
      <w:spacing w:before="360" w:beforeAutospacing="1" w:after="360" w:line="278" w:lineRule="auto"/>
      <w:ind w:left="864" w:right="864"/>
      <w:jc w:val="center"/>
    </w:pPr>
    <w:rPr>
      <w:rFonts w:ascii="Times New Roman" w:eastAsiaTheme="minorEastAsia" w:hAnsi="Times New Roman" w:cstheme="minorBidi"/>
      <w:i/>
      <w:iCs/>
      <w:color w:val="2F5496" w:themeColor="accent1" w:themeShade="BF"/>
      <w:kern w:val="2"/>
      <w:sz w:val="24"/>
      <w:szCs w:val="24"/>
    </w:rPr>
  </w:style>
  <w:style w:type="character" w:customStyle="1" w:styleId="IntenseQuoteChar">
    <w:name w:val="Intense Quote Char"/>
    <w:basedOn w:val="DefaultParagraphFont"/>
    <w:link w:val="IntenseQuote"/>
    <w:uiPriority w:val="30"/>
    <w:rsid w:val="00DA689F"/>
    <w:rPr>
      <w:rFonts w:ascii="Times New Roman" w:eastAsiaTheme="minorEastAsia" w:hAnsi="Times New Roman"/>
      <w:i/>
      <w:iCs/>
      <w:color w:val="2F5496" w:themeColor="accent1" w:themeShade="BF"/>
      <w:sz w:val="24"/>
      <w:szCs w:val="24"/>
    </w:rPr>
  </w:style>
  <w:style w:type="character" w:styleId="IntenseReference">
    <w:name w:val="Intense Reference"/>
    <w:basedOn w:val="DefaultParagraphFont"/>
    <w:uiPriority w:val="32"/>
    <w:qFormat/>
    <w:rsid w:val="00DA689F"/>
    <w:rPr>
      <w:b/>
      <w:bCs/>
      <w:smallCaps/>
      <w:color w:val="2F5496" w:themeColor="accent1" w:themeShade="BF"/>
      <w:spacing w:val="5"/>
    </w:rPr>
  </w:style>
  <w:style w:type="character" w:styleId="LineNumber">
    <w:name w:val="line number"/>
    <w:basedOn w:val="DefaultParagraphFont"/>
    <w:uiPriority w:val="99"/>
    <w:semiHidden/>
    <w:unhideWhenUsed/>
    <w:rsid w:val="00DA689F"/>
  </w:style>
  <w:style w:type="character" w:customStyle="1" w:styleId="NoSpacingChar">
    <w:name w:val="No Spacing Char"/>
    <w:aliases w:val="body Char"/>
    <w:basedOn w:val="DefaultParagraphFont"/>
    <w:link w:val="NoSpacing"/>
    <w:uiPriority w:val="1"/>
    <w:qFormat/>
    <w:rsid w:val="00DA689F"/>
  </w:style>
  <w:style w:type="character" w:styleId="SubtleEmphasis">
    <w:name w:val="Subtle Emphasis"/>
    <w:basedOn w:val="DefaultParagraphFont"/>
    <w:uiPriority w:val="19"/>
    <w:qFormat/>
    <w:rsid w:val="00DA689F"/>
    <w:rPr>
      <w:i/>
      <w:iCs/>
      <w:color w:val="404040" w:themeColor="text1" w:themeTint="BF"/>
    </w:rPr>
  </w:style>
  <w:style w:type="table" w:customStyle="1" w:styleId="GridTable5Dark1">
    <w:name w:val="Grid Table 5 Dark1"/>
    <w:basedOn w:val="TableNormal"/>
    <w:uiPriority w:val="50"/>
    <w:rsid w:val="00DA689F"/>
    <w:pPr>
      <w:spacing w:before="100" w:beforeAutospacing="1" w:after="240" w:line="240" w:lineRule="auto"/>
      <w:jc w:val="both"/>
    </w:pPr>
    <w:rPr>
      <w:rFonts w:eastAsiaTheme="minorEastAsia"/>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character" w:customStyle="1" w:styleId="katex-mathml">
    <w:name w:val="katex-mathml"/>
    <w:basedOn w:val="DefaultParagraphFont"/>
    <w:rsid w:val="00DA689F"/>
  </w:style>
  <w:style w:type="character" w:customStyle="1" w:styleId="mord">
    <w:name w:val="mord"/>
    <w:basedOn w:val="DefaultParagraphFont"/>
    <w:rsid w:val="00DA689F"/>
  </w:style>
  <w:style w:type="character" w:customStyle="1" w:styleId="mrel">
    <w:name w:val="mrel"/>
    <w:basedOn w:val="DefaultParagraphFont"/>
    <w:rsid w:val="00DA689F"/>
  </w:style>
  <w:style w:type="character" w:customStyle="1" w:styleId="mopen">
    <w:name w:val="mopen"/>
    <w:basedOn w:val="DefaultParagraphFont"/>
    <w:rsid w:val="00DA689F"/>
  </w:style>
  <w:style w:type="character" w:customStyle="1" w:styleId="mbin">
    <w:name w:val="mbin"/>
    <w:basedOn w:val="DefaultParagraphFont"/>
    <w:rsid w:val="00DA689F"/>
  </w:style>
  <w:style w:type="character" w:customStyle="1" w:styleId="mclose">
    <w:name w:val="mclose"/>
    <w:basedOn w:val="DefaultParagraphFont"/>
    <w:rsid w:val="00DA689F"/>
  </w:style>
  <w:style w:type="character" w:customStyle="1" w:styleId="vlist-s">
    <w:name w:val="vlist-s"/>
    <w:basedOn w:val="DefaultParagraphFont"/>
    <w:rsid w:val="00DA689F"/>
  </w:style>
  <w:style w:type="character" w:customStyle="1" w:styleId="mpunct">
    <w:name w:val="mpunct"/>
    <w:basedOn w:val="DefaultParagraphFont"/>
    <w:rsid w:val="00DA689F"/>
  </w:style>
  <w:style w:type="paragraph" w:styleId="TOC4">
    <w:name w:val="toc 4"/>
    <w:basedOn w:val="Normal"/>
    <w:next w:val="Normal"/>
    <w:autoRedefine/>
    <w:uiPriority w:val="39"/>
    <w:unhideWhenUsed/>
    <w:rsid w:val="00DA689F"/>
    <w:pPr>
      <w:spacing w:before="100" w:beforeAutospacing="1" w:after="240" w:line="240" w:lineRule="auto"/>
      <w:ind w:left="480"/>
      <w:jc w:val="both"/>
    </w:pPr>
    <w:rPr>
      <w:rFonts w:asciiTheme="minorHAnsi" w:eastAsiaTheme="minorHAnsi" w:hAnsiTheme="minorHAnsi" w:cstheme="minorHAnsi"/>
      <w:sz w:val="20"/>
      <w:szCs w:val="20"/>
    </w:rPr>
  </w:style>
  <w:style w:type="paragraph" w:styleId="TOC5">
    <w:name w:val="toc 5"/>
    <w:basedOn w:val="Normal"/>
    <w:next w:val="Normal"/>
    <w:autoRedefine/>
    <w:uiPriority w:val="39"/>
    <w:unhideWhenUsed/>
    <w:rsid w:val="00DA689F"/>
    <w:pPr>
      <w:spacing w:before="100" w:beforeAutospacing="1" w:after="240" w:line="240" w:lineRule="auto"/>
      <w:ind w:left="720"/>
      <w:jc w:val="both"/>
    </w:pPr>
    <w:rPr>
      <w:rFonts w:asciiTheme="minorHAnsi" w:eastAsiaTheme="minorHAnsi" w:hAnsiTheme="minorHAnsi" w:cstheme="minorHAnsi"/>
      <w:sz w:val="20"/>
      <w:szCs w:val="20"/>
    </w:rPr>
  </w:style>
  <w:style w:type="paragraph" w:styleId="TOC6">
    <w:name w:val="toc 6"/>
    <w:basedOn w:val="Normal"/>
    <w:next w:val="Normal"/>
    <w:autoRedefine/>
    <w:uiPriority w:val="39"/>
    <w:unhideWhenUsed/>
    <w:rsid w:val="00DA689F"/>
    <w:pPr>
      <w:spacing w:before="100" w:beforeAutospacing="1" w:after="240" w:line="240" w:lineRule="auto"/>
      <w:ind w:left="960"/>
      <w:jc w:val="both"/>
    </w:pPr>
    <w:rPr>
      <w:rFonts w:asciiTheme="minorHAnsi" w:eastAsiaTheme="minorHAnsi" w:hAnsiTheme="minorHAnsi" w:cstheme="minorHAnsi"/>
      <w:sz w:val="20"/>
      <w:szCs w:val="20"/>
    </w:rPr>
  </w:style>
  <w:style w:type="paragraph" w:styleId="TOC7">
    <w:name w:val="toc 7"/>
    <w:basedOn w:val="Normal"/>
    <w:next w:val="Normal"/>
    <w:autoRedefine/>
    <w:uiPriority w:val="39"/>
    <w:unhideWhenUsed/>
    <w:rsid w:val="00DA689F"/>
    <w:pPr>
      <w:spacing w:before="100" w:beforeAutospacing="1" w:after="240" w:line="240" w:lineRule="auto"/>
      <w:ind w:left="1200"/>
      <w:jc w:val="both"/>
    </w:pPr>
    <w:rPr>
      <w:rFonts w:asciiTheme="minorHAnsi" w:eastAsiaTheme="minorHAnsi" w:hAnsiTheme="minorHAnsi" w:cstheme="minorHAnsi"/>
      <w:sz w:val="20"/>
      <w:szCs w:val="20"/>
    </w:rPr>
  </w:style>
  <w:style w:type="paragraph" w:styleId="TOC8">
    <w:name w:val="toc 8"/>
    <w:basedOn w:val="Normal"/>
    <w:next w:val="Normal"/>
    <w:autoRedefine/>
    <w:uiPriority w:val="39"/>
    <w:unhideWhenUsed/>
    <w:rsid w:val="00DA689F"/>
    <w:pPr>
      <w:spacing w:before="100" w:beforeAutospacing="1" w:after="240" w:line="240" w:lineRule="auto"/>
      <w:ind w:left="1440"/>
      <w:jc w:val="both"/>
    </w:pPr>
    <w:rPr>
      <w:rFonts w:asciiTheme="minorHAnsi" w:eastAsiaTheme="minorHAnsi" w:hAnsiTheme="minorHAnsi" w:cstheme="minorHAnsi"/>
      <w:sz w:val="20"/>
      <w:szCs w:val="20"/>
    </w:rPr>
  </w:style>
  <w:style w:type="paragraph" w:styleId="TOC9">
    <w:name w:val="toc 9"/>
    <w:basedOn w:val="Normal"/>
    <w:next w:val="Normal"/>
    <w:autoRedefine/>
    <w:uiPriority w:val="39"/>
    <w:unhideWhenUsed/>
    <w:rsid w:val="00DA689F"/>
    <w:pPr>
      <w:spacing w:before="100" w:beforeAutospacing="1" w:after="240" w:line="240" w:lineRule="auto"/>
      <w:ind w:left="1680"/>
      <w:jc w:val="both"/>
    </w:pPr>
    <w:rPr>
      <w:rFonts w:asciiTheme="minorHAnsi" w:eastAsiaTheme="minorHAnsi" w:hAnsiTheme="minorHAnsi" w:cstheme="minorHAnsi"/>
      <w:sz w:val="20"/>
      <w:szCs w:val="20"/>
    </w:rPr>
  </w:style>
  <w:style w:type="paragraph" w:styleId="TableofAuthorities">
    <w:name w:val="table of authorities"/>
    <w:basedOn w:val="Normal"/>
    <w:next w:val="Normal"/>
    <w:uiPriority w:val="99"/>
    <w:semiHidden/>
    <w:unhideWhenUsed/>
    <w:qFormat/>
    <w:rsid w:val="00DA689F"/>
    <w:pPr>
      <w:spacing w:before="100" w:beforeAutospacing="1" w:after="240" w:line="240" w:lineRule="auto"/>
      <w:ind w:left="240" w:hanging="240"/>
      <w:jc w:val="both"/>
    </w:pPr>
    <w:rPr>
      <w:rFonts w:asciiTheme="minorHAnsi" w:eastAsiaTheme="minorEastAsia" w:hAnsiTheme="minorHAnsi" w:cstheme="minorBidi"/>
      <w:sz w:val="24"/>
      <w:szCs w:val="24"/>
      <w:lang w:val="zh-CN"/>
    </w:rPr>
  </w:style>
  <w:style w:type="paragraph" w:customStyle="1" w:styleId="Style2">
    <w:name w:val="Style2"/>
    <w:basedOn w:val="TableofFigures"/>
    <w:qFormat/>
    <w:rsid w:val="00DA689F"/>
    <w:pPr>
      <w:tabs>
        <w:tab w:val="right" w:leader="dot" w:pos="10478"/>
      </w:tabs>
      <w:spacing w:after="0"/>
      <w:ind w:left="480" w:hanging="480"/>
    </w:pPr>
    <w:rPr>
      <w:rFonts w:eastAsiaTheme="minorEastAsia" w:cstheme="minorHAnsi"/>
      <w:caps/>
      <w:color w:val="000000" w:themeColor="text1"/>
      <w:sz w:val="20"/>
      <w:szCs w:val="20"/>
      <w:lang w:val="zh-CN"/>
    </w:rPr>
  </w:style>
  <w:style w:type="character" w:customStyle="1" w:styleId="15">
    <w:name w:val="15"/>
    <w:basedOn w:val="DefaultParagraphFont"/>
    <w:qFormat/>
    <w:rsid w:val="00DA689F"/>
    <w:rPr>
      <w:rFonts w:ascii="Calibri" w:hAnsi="Calibri" w:cs="Calibri" w:hint="default"/>
      <w:color w:val="0563C1"/>
      <w:u w:val="single"/>
    </w:rPr>
  </w:style>
  <w:style w:type="paragraph" w:customStyle="1" w:styleId="whitespace-pre-wrap">
    <w:name w:val="whitespace-pre-wrap"/>
    <w:basedOn w:val="Normal"/>
    <w:rsid w:val="00DA689F"/>
    <w:pPr>
      <w:spacing w:before="100" w:beforeAutospacing="1" w:after="100" w:afterAutospacing="1" w:line="240" w:lineRule="auto"/>
      <w:jc w:val="both"/>
    </w:pPr>
    <w:rPr>
      <w:rFonts w:ascii="Times New Roman" w:eastAsia="Times New Roman" w:hAnsi="Times New Roman"/>
      <w:sz w:val="24"/>
      <w:szCs w:val="24"/>
      <w:lang w:val="zh-CN" w:eastAsia="en-GB"/>
    </w:rPr>
  </w:style>
  <w:style w:type="paragraph" w:customStyle="1" w:styleId="whitespace-normal">
    <w:name w:val="whitespace-normal"/>
    <w:basedOn w:val="Normal"/>
    <w:rsid w:val="00DA689F"/>
    <w:pPr>
      <w:spacing w:before="100" w:beforeAutospacing="1" w:after="100" w:afterAutospacing="1" w:line="240" w:lineRule="auto"/>
      <w:jc w:val="both"/>
    </w:pPr>
    <w:rPr>
      <w:rFonts w:ascii="Times New Roman" w:eastAsia="Times New Roman" w:hAnsi="Times New Roman"/>
      <w:sz w:val="24"/>
      <w:szCs w:val="24"/>
      <w:lang w:val="zh-CN" w:eastAsia="en-GB"/>
    </w:rPr>
  </w:style>
  <w:style w:type="paragraph" w:customStyle="1" w:styleId="Heading11">
    <w:name w:val="Heading 11"/>
    <w:basedOn w:val="Heading1"/>
    <w:autoRedefine/>
    <w:qFormat/>
    <w:rsid w:val="00DA689F"/>
    <w:pPr>
      <w:spacing w:beforeAutospacing="1" w:after="240" w:line="240" w:lineRule="auto"/>
      <w:jc w:val="both"/>
    </w:pPr>
    <w:rPr>
      <w:rFonts w:ascii="Times New Roman" w:eastAsia="Calibri" w:hAnsi="Times New Roman"/>
      <w:b/>
      <w:color w:val="auto"/>
      <w:sz w:val="24"/>
    </w:rPr>
  </w:style>
  <w:style w:type="paragraph" w:customStyle="1" w:styleId="Style1">
    <w:name w:val="Style1"/>
    <w:basedOn w:val="Normal"/>
    <w:qFormat/>
    <w:rsid w:val="00DA689F"/>
    <w:pPr>
      <w:spacing w:before="100" w:beforeAutospacing="1" w:after="240" w:line="360" w:lineRule="auto"/>
      <w:jc w:val="both"/>
    </w:pPr>
    <w:rPr>
      <w:rFonts w:ascii="Times New Roman" w:eastAsiaTheme="minorEastAsia" w:hAnsi="Times New Roman"/>
      <w:sz w:val="24"/>
      <w:szCs w:val="24"/>
      <w:lang w:val="zh-CN"/>
    </w:rPr>
  </w:style>
  <w:style w:type="character" w:styleId="PageNumber">
    <w:name w:val="page number"/>
    <w:basedOn w:val="DefaultParagraphFont"/>
    <w:uiPriority w:val="99"/>
    <w:semiHidden/>
    <w:unhideWhenUsed/>
    <w:rsid w:val="00DA689F"/>
  </w:style>
  <w:style w:type="character" w:customStyle="1" w:styleId="ng-star-inserted">
    <w:name w:val="ng-star-inserted"/>
    <w:basedOn w:val="DefaultParagraphFont"/>
    <w:rsid w:val="00DA689F"/>
  </w:style>
  <w:style w:type="character" w:customStyle="1" w:styleId="mat-mdc-tooltip-trigger">
    <w:name w:val="mat-mdc-tooltip-trigger"/>
    <w:basedOn w:val="DefaultParagraphFont"/>
    <w:rsid w:val="00DA689F"/>
  </w:style>
  <w:style w:type="character" w:customStyle="1" w:styleId="mdc-buttonlabel">
    <w:name w:val="mdc-button__label"/>
    <w:basedOn w:val="DefaultParagraphFont"/>
    <w:rsid w:val="00DA689F"/>
  </w:style>
  <w:style w:type="character" w:customStyle="1" w:styleId="bold">
    <w:name w:val="bold"/>
    <w:basedOn w:val="DefaultParagraphFont"/>
    <w:rsid w:val="00DA689F"/>
  </w:style>
  <w:style w:type="character" w:customStyle="1" w:styleId="UnresolvedMention20">
    <w:name w:val="Unresolved Mention2"/>
    <w:basedOn w:val="DefaultParagraphFont"/>
    <w:uiPriority w:val="99"/>
    <w:semiHidden/>
    <w:unhideWhenUsed/>
    <w:rsid w:val="00DA689F"/>
    <w:rPr>
      <w:color w:val="605E5C"/>
      <w:shd w:val="clear" w:color="auto" w:fill="E1DFDD"/>
    </w:rPr>
  </w:style>
  <w:style w:type="paragraph" w:styleId="Revision">
    <w:name w:val="Revision"/>
    <w:hidden/>
    <w:uiPriority w:val="99"/>
    <w:semiHidden/>
    <w:rsid w:val="00DA689F"/>
    <w:pPr>
      <w:spacing w:before="100" w:beforeAutospacing="1" w:after="240" w:line="240" w:lineRule="auto"/>
      <w:jc w:val="both"/>
    </w:pPr>
    <w:rPr>
      <w:rFonts w:eastAsiaTheme="minorEastAsia"/>
      <w:kern w:val="0"/>
      <w:sz w:val="24"/>
      <w:szCs w:val="24"/>
      <w:lang w:val="zh-CN"/>
    </w:rPr>
  </w:style>
  <w:style w:type="paragraph" w:customStyle="1" w:styleId="p1">
    <w:name w:val="p1"/>
    <w:basedOn w:val="Normal"/>
    <w:rsid w:val="00DA689F"/>
    <w:pPr>
      <w:spacing w:before="100" w:beforeAutospacing="1" w:after="240" w:line="240" w:lineRule="auto"/>
      <w:jc w:val="both"/>
    </w:pPr>
    <w:rPr>
      <w:rFonts w:ascii=".AppleSystemUIFont" w:eastAsiaTheme="minorEastAsia" w:hAnsi=".AppleSystemUIFont"/>
      <w:sz w:val="26"/>
      <w:szCs w:val="26"/>
      <w:lang w:eastAsia="en-GB"/>
    </w:rPr>
  </w:style>
  <w:style w:type="character" w:customStyle="1" w:styleId="s1">
    <w:name w:val="s1"/>
    <w:basedOn w:val="DefaultParagraphFont"/>
    <w:rsid w:val="00DA689F"/>
    <w:rPr>
      <w:rFonts w:ascii="UICTFontTextStyleBody" w:hAnsi="UICTFontTextStyleBody" w:hint="default"/>
      <w:b w:val="0"/>
      <w:bCs w:val="0"/>
      <w:i w:val="0"/>
      <w:iCs w:val="0"/>
      <w:sz w:val="26"/>
      <w:szCs w:val="26"/>
    </w:rPr>
  </w:style>
  <w:style w:type="paragraph" w:customStyle="1" w:styleId="p2">
    <w:name w:val="p2"/>
    <w:basedOn w:val="Normal"/>
    <w:rsid w:val="00DA689F"/>
    <w:pPr>
      <w:spacing w:before="100" w:beforeAutospacing="1" w:after="240" w:line="240" w:lineRule="auto"/>
      <w:jc w:val="both"/>
    </w:pPr>
    <w:rPr>
      <w:rFonts w:ascii=".AppleSystemUIFont" w:eastAsiaTheme="minorEastAsia" w:hAnsi=".AppleSystemUIFont"/>
      <w:sz w:val="26"/>
      <w:szCs w:val="26"/>
      <w:lang w:eastAsia="en-GB"/>
    </w:rPr>
  </w:style>
  <w:style w:type="paragraph" w:customStyle="1" w:styleId="li1">
    <w:name w:val="li1"/>
    <w:basedOn w:val="Normal"/>
    <w:rsid w:val="00DA689F"/>
    <w:pPr>
      <w:spacing w:before="100" w:beforeAutospacing="1" w:after="240" w:line="240" w:lineRule="auto"/>
      <w:jc w:val="both"/>
    </w:pPr>
    <w:rPr>
      <w:rFonts w:ascii=".AppleSystemUIFont" w:eastAsiaTheme="minorEastAsia" w:hAnsi=".AppleSystemUIFont"/>
      <w:sz w:val="26"/>
      <w:szCs w:val="26"/>
      <w:lang w:eastAsia="en-GB"/>
    </w:rPr>
  </w:style>
  <w:style w:type="character" w:customStyle="1" w:styleId="apple-converted-space">
    <w:name w:val="apple-converted-space"/>
    <w:basedOn w:val="DefaultParagraphFont"/>
    <w:rsid w:val="00DA689F"/>
  </w:style>
  <w:style w:type="character" w:customStyle="1" w:styleId="bumpedfont15">
    <w:name w:val="bumpedfont15"/>
    <w:basedOn w:val="DefaultParagraphFont"/>
    <w:rsid w:val="00DA689F"/>
  </w:style>
  <w:style w:type="paragraph" w:customStyle="1" w:styleId="s100">
    <w:name w:val="s100"/>
    <w:basedOn w:val="Normal"/>
    <w:rsid w:val="00DA689F"/>
    <w:pPr>
      <w:spacing w:before="100" w:beforeAutospacing="1" w:after="100" w:afterAutospacing="1" w:line="240" w:lineRule="auto"/>
      <w:jc w:val="both"/>
    </w:pPr>
    <w:rPr>
      <w:rFonts w:ascii="Times New Roman" w:eastAsiaTheme="minorEastAsia" w:hAnsi="Times New Roman"/>
      <w:sz w:val="24"/>
      <w:szCs w:val="24"/>
      <w:lang w:eastAsia="en-GB"/>
    </w:rPr>
  </w:style>
  <w:style w:type="table" w:customStyle="1" w:styleId="PlainTable41">
    <w:name w:val="Plain Table 41"/>
    <w:basedOn w:val="TableNormal"/>
    <w:uiPriority w:val="44"/>
    <w:rsid w:val="00DA689F"/>
    <w:pPr>
      <w:spacing w:before="100" w:beforeAutospacing="1" w:after="240" w:line="240" w:lineRule="auto"/>
      <w:jc w:val="both"/>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pelle">
    <w:name w:val="spelle"/>
    <w:basedOn w:val="DefaultParagraphFont"/>
    <w:rsid w:val="00DA689F"/>
  </w:style>
  <w:style w:type="character" w:styleId="HTMLCite">
    <w:name w:val="HTML Cite"/>
    <w:basedOn w:val="DefaultParagraphFont"/>
    <w:uiPriority w:val="99"/>
    <w:semiHidden/>
    <w:unhideWhenUsed/>
    <w:rsid w:val="00DA689F"/>
    <w:rPr>
      <w:i/>
      <w:iCs/>
    </w:rPr>
  </w:style>
  <w:style w:type="character" w:customStyle="1" w:styleId="url">
    <w:name w:val="url"/>
    <w:basedOn w:val="DefaultParagraphFont"/>
    <w:rsid w:val="00DA689F"/>
  </w:style>
  <w:style w:type="character" w:customStyle="1" w:styleId="uv3um">
    <w:name w:val="uv3um"/>
    <w:basedOn w:val="DefaultParagraphFont"/>
    <w:rsid w:val="00DA689F"/>
  </w:style>
  <w:style w:type="character" w:customStyle="1" w:styleId="oxzekf">
    <w:name w:val="oxzekf"/>
    <w:basedOn w:val="DefaultParagraphFont"/>
    <w:rsid w:val="00DA689F"/>
  </w:style>
  <w:style w:type="paragraph" w:customStyle="1" w:styleId="ListParagraph1">
    <w:name w:val="List Paragraph1"/>
    <w:basedOn w:val="Normal"/>
    <w:uiPriority w:val="99"/>
    <w:unhideWhenUsed/>
    <w:qFormat/>
    <w:rsid w:val="00DA689F"/>
    <w:pPr>
      <w:spacing w:before="100" w:beforeAutospacing="1" w:after="240" w:line="240" w:lineRule="auto"/>
      <w:ind w:left="720"/>
      <w:contextualSpacing/>
      <w:jc w:val="both"/>
    </w:pPr>
    <w:rPr>
      <w:rFonts w:asciiTheme="minorHAnsi" w:eastAsiaTheme="minorEastAsia" w:hAnsiTheme="minorHAnsi" w:cstheme="minorBidi"/>
      <w:sz w:val="20"/>
      <w:szCs w:val="20"/>
      <w:lang w:eastAsia="zh-CN"/>
    </w:rPr>
  </w:style>
  <w:style w:type="character" w:customStyle="1" w:styleId="kx21rb">
    <w:name w:val="kx21rb"/>
    <w:basedOn w:val="DefaultParagraphFont"/>
    <w:rsid w:val="00DA689F"/>
  </w:style>
  <w:style w:type="character" w:customStyle="1" w:styleId="yrbpuc">
    <w:name w:val="yrbpuc"/>
    <w:basedOn w:val="DefaultParagraphFont"/>
    <w:rsid w:val="00DA689F"/>
  </w:style>
  <w:style w:type="table" w:customStyle="1" w:styleId="GridTable1Light-Accent61">
    <w:name w:val="Grid Table 1 Light - Accent 61"/>
    <w:basedOn w:val="TableNormal"/>
    <w:uiPriority w:val="46"/>
    <w:rsid w:val="00DA689F"/>
    <w:pPr>
      <w:spacing w:before="100" w:beforeAutospacing="1" w:after="240" w:line="240" w:lineRule="auto"/>
      <w:jc w:val="both"/>
    </w:pPr>
    <w:rPr>
      <w:kern w:val="0"/>
      <w:sz w:val="24"/>
      <w:szCs w:val="24"/>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DA689F"/>
    <w:pPr>
      <w:spacing w:before="100" w:beforeAutospacing="1" w:after="240" w:line="240" w:lineRule="auto"/>
      <w:jc w:val="both"/>
    </w:pPr>
    <w:rPr>
      <w:kern w:val="0"/>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Accent51">
    <w:name w:val="Grid Table 1 Light - Accent 51"/>
    <w:basedOn w:val="TableNormal"/>
    <w:uiPriority w:val="46"/>
    <w:rsid w:val="00DA689F"/>
    <w:pPr>
      <w:spacing w:before="100" w:beforeAutospacing="1" w:after="240" w:line="240" w:lineRule="auto"/>
      <w:jc w:val="both"/>
    </w:pPr>
    <w:rPr>
      <w:kern w:val="0"/>
      <w:sz w:val="24"/>
      <w:szCs w:val="24"/>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customStyle="1" w:styleId="FIG">
    <w:name w:val="FIG"/>
    <w:basedOn w:val="Caption"/>
    <w:link w:val="FIGChar"/>
    <w:autoRedefine/>
    <w:qFormat/>
    <w:rsid w:val="00DA689F"/>
    <w:pPr>
      <w:spacing w:after="120"/>
    </w:pPr>
    <w:rPr>
      <w:b w:val="0"/>
    </w:rPr>
  </w:style>
  <w:style w:type="paragraph" w:customStyle="1" w:styleId="TAB">
    <w:name w:val="TAB"/>
    <w:basedOn w:val="Caption"/>
    <w:link w:val="TABChar"/>
    <w:autoRedefine/>
    <w:qFormat/>
    <w:rsid w:val="00DA689F"/>
    <w:pPr>
      <w:spacing w:before="120" w:after="0"/>
    </w:pPr>
    <w:rPr>
      <w:rFonts w:eastAsia="Times New Roman"/>
      <w:b w:val="0"/>
      <w:lang w:val="en-GB"/>
    </w:rPr>
  </w:style>
  <w:style w:type="character" w:customStyle="1" w:styleId="CaptionChar">
    <w:name w:val="Caption Char"/>
    <w:aliases w:val="Figures Char,Caption Table Char,Hinh Bang Char,Caption +13 pt Char,Caption hinh Char,Caption Char1 Char Char,Caption Char Char Char Char,Caption Char1 Char Char1 Char Char,Caption Char Char Char Char1 Char Char"/>
    <w:basedOn w:val="DefaultParagraphFont"/>
    <w:link w:val="Caption"/>
    <w:rsid w:val="00DA689F"/>
    <w:rPr>
      <w:rFonts w:ascii="Times New Roman" w:eastAsia="Calibri" w:hAnsi="Times New Roman" w:cs="Times New Roman"/>
      <w:b/>
      <w:iCs/>
      <w:kern w:val="0"/>
      <w:sz w:val="24"/>
      <w:szCs w:val="24"/>
    </w:rPr>
  </w:style>
  <w:style w:type="character" w:customStyle="1" w:styleId="FIGChar">
    <w:name w:val="FIG Char"/>
    <w:basedOn w:val="CaptionChar"/>
    <w:link w:val="FIG"/>
    <w:rsid w:val="00DA689F"/>
    <w:rPr>
      <w:rFonts w:ascii="Times New Roman" w:eastAsia="Calibri" w:hAnsi="Times New Roman" w:cs="Times New Roman"/>
      <w:b/>
      <w:iCs/>
      <w:kern w:val="0"/>
      <w:sz w:val="24"/>
      <w:szCs w:val="24"/>
    </w:rPr>
  </w:style>
  <w:style w:type="character" w:customStyle="1" w:styleId="TABChar">
    <w:name w:val="TAB Char"/>
    <w:basedOn w:val="CaptionChar"/>
    <w:link w:val="TAB"/>
    <w:rsid w:val="00DA689F"/>
    <w:rPr>
      <w:rFonts w:ascii="Times New Roman" w:eastAsia="Times New Roman" w:hAnsi="Times New Roman" w:cs="Times New Roman"/>
      <w:b/>
      <w:iCs/>
      <w:kern w:val="0"/>
      <w:sz w:val="24"/>
      <w:szCs w:val="24"/>
      <w:lang w:val="en-GB"/>
    </w:rPr>
  </w:style>
  <w:style w:type="character" w:customStyle="1" w:styleId="UnresolvedMention3">
    <w:name w:val="Unresolved Mention3"/>
    <w:basedOn w:val="DefaultParagraphFont"/>
    <w:uiPriority w:val="99"/>
    <w:semiHidden/>
    <w:unhideWhenUsed/>
    <w:rsid w:val="00DA689F"/>
    <w:rPr>
      <w:color w:val="605E5C"/>
      <w:shd w:val="clear" w:color="auto" w:fill="E1DFDD"/>
    </w:rPr>
  </w:style>
  <w:style w:type="paragraph" w:customStyle="1" w:styleId="PLA">
    <w:name w:val="PLA"/>
    <w:basedOn w:val="Caption"/>
    <w:link w:val="PLAChar"/>
    <w:autoRedefine/>
    <w:qFormat/>
    <w:rsid w:val="00DA689F"/>
    <w:pPr>
      <w:spacing w:after="120"/>
      <w:jc w:val="center"/>
    </w:pPr>
    <w:rPr>
      <w:b w:val="0"/>
    </w:rPr>
  </w:style>
  <w:style w:type="character" w:customStyle="1" w:styleId="PLAChar">
    <w:name w:val="PLA Char"/>
    <w:basedOn w:val="CaptionChar"/>
    <w:link w:val="PLA"/>
    <w:rsid w:val="00DA689F"/>
    <w:rPr>
      <w:rFonts w:ascii="Times New Roman" w:eastAsia="Calibri" w:hAnsi="Times New Roman" w:cs="Times New Roman"/>
      <w:b/>
      <w:iCs/>
      <w:kern w:val="0"/>
      <w:sz w:val="24"/>
      <w:szCs w:val="24"/>
    </w:rPr>
  </w:style>
  <w:style w:type="character" w:customStyle="1" w:styleId="muibox-root">
    <w:name w:val="muibox-root"/>
    <w:basedOn w:val="DefaultParagraphFont"/>
    <w:rsid w:val="00DA689F"/>
  </w:style>
  <w:style w:type="character" w:customStyle="1" w:styleId="css-1g9q2al">
    <w:name w:val="css-1g9q2al"/>
    <w:basedOn w:val="DefaultParagraphFont"/>
    <w:rsid w:val="00DA689F"/>
  </w:style>
  <w:style w:type="character" w:customStyle="1" w:styleId="css-1tmeul0">
    <w:name w:val="css-1tmeul0"/>
    <w:basedOn w:val="DefaultParagraphFont"/>
    <w:rsid w:val="00DA689F"/>
  </w:style>
  <w:style w:type="character" w:customStyle="1" w:styleId="css-0">
    <w:name w:val="css-0"/>
    <w:basedOn w:val="DefaultParagraphFont"/>
    <w:rsid w:val="00DA689F"/>
  </w:style>
  <w:style w:type="character" w:customStyle="1" w:styleId="title-text">
    <w:name w:val="title-text"/>
    <w:basedOn w:val="DefaultParagraphFont"/>
    <w:rsid w:val="00DA689F"/>
  </w:style>
  <w:style w:type="character" w:customStyle="1" w:styleId="react-xocs-alternative-link">
    <w:name w:val="react-xocs-alternative-link"/>
    <w:basedOn w:val="DefaultParagraphFont"/>
    <w:rsid w:val="00DA689F"/>
  </w:style>
  <w:style w:type="character" w:customStyle="1" w:styleId="given-name">
    <w:name w:val="given-name"/>
    <w:basedOn w:val="DefaultParagraphFont"/>
    <w:rsid w:val="00DA689F"/>
  </w:style>
  <w:style w:type="character" w:customStyle="1" w:styleId="text">
    <w:name w:val="text"/>
    <w:basedOn w:val="DefaultParagraphFont"/>
    <w:rsid w:val="00DA689F"/>
  </w:style>
  <w:style w:type="character" w:customStyle="1" w:styleId="button-link-text">
    <w:name w:val="button-link-text"/>
    <w:basedOn w:val="DefaultParagraphFont"/>
    <w:rsid w:val="00DA689F"/>
  </w:style>
  <w:style w:type="paragraph" w:customStyle="1" w:styleId="z1qcye">
    <w:name w:val="z1qcye"/>
    <w:basedOn w:val="Normal"/>
    <w:rsid w:val="00DA689F"/>
    <w:pPr>
      <w:spacing w:before="100" w:beforeAutospacing="1" w:after="100" w:afterAutospacing="1" w:line="240" w:lineRule="auto"/>
    </w:pPr>
    <w:rPr>
      <w:rFonts w:ascii="Times New Roman" w:eastAsia="Times New Roman" w:hAnsi="Times New Roman"/>
      <w:sz w:val="24"/>
      <w:szCs w:val="24"/>
    </w:rPr>
  </w:style>
  <w:style w:type="character" w:customStyle="1" w:styleId="inqyif">
    <w:name w:val="inqyif"/>
    <w:basedOn w:val="DefaultParagraphFont"/>
    <w:rsid w:val="00DA689F"/>
  </w:style>
  <w:style w:type="paragraph" w:customStyle="1" w:styleId="Affiliation">
    <w:name w:val="Affiliation"/>
    <w:rsid w:val="00462DAD"/>
    <w:pPr>
      <w:suppressAutoHyphens/>
      <w:spacing w:after="0" w:line="240" w:lineRule="auto"/>
      <w:jc w:val="center"/>
    </w:pPr>
    <w:rPr>
      <w:rFonts w:ascii="Times New Roman" w:eastAsia="SimSun" w:hAnsi="Times New Roman" w:cs="Times New Roman"/>
      <w:kern w:val="0"/>
      <w:sz w:val="20"/>
      <w:szCs w:val="20"/>
      <w:lang w:eastAsia="zh-CN"/>
    </w:rPr>
  </w:style>
  <w:style w:type="paragraph" w:customStyle="1" w:styleId="papertitle">
    <w:name w:val="paper title"/>
    <w:rsid w:val="00462DAD"/>
    <w:pPr>
      <w:suppressAutoHyphens/>
      <w:spacing w:after="120" w:line="240" w:lineRule="auto"/>
      <w:jc w:val="center"/>
    </w:pPr>
    <w:rPr>
      <w:rFonts w:ascii="Times New Roman" w:eastAsia="MS Mincho" w:hAnsi="Times New Roman" w:cs="Times New Roman"/>
      <w:kern w:val="0"/>
      <w:sz w:val="48"/>
      <w:szCs w:val="48"/>
    </w:rPr>
  </w:style>
  <w:style w:type="paragraph" w:customStyle="1" w:styleId="FirstParagraph">
    <w:name w:val="First Paragraph"/>
    <w:basedOn w:val="BodyText"/>
    <w:next w:val="BodyText"/>
    <w:qFormat/>
    <w:rsid w:val="00C64789"/>
    <w:pPr>
      <w:widowControl/>
      <w:autoSpaceDE/>
      <w:autoSpaceDN/>
      <w:spacing w:before="0" w:beforeAutospacing="0" w:after="60" w:line="252" w:lineRule="auto"/>
      <w:jc w:val="left"/>
    </w:pPr>
    <w:rPr>
      <w:rFonts w:cstheme="minorBidi"/>
      <w:sz w:val="20"/>
    </w:rPr>
  </w:style>
  <w:style w:type="paragraph" w:customStyle="1" w:styleId="Compact">
    <w:name w:val="Compact"/>
    <w:basedOn w:val="BodyText"/>
    <w:qFormat/>
    <w:rsid w:val="00C64789"/>
    <w:pPr>
      <w:widowControl/>
      <w:autoSpaceDE/>
      <w:autoSpaceDN/>
      <w:spacing w:before="36" w:beforeAutospacing="0" w:after="36" w:line="252" w:lineRule="auto"/>
      <w:jc w:val="left"/>
    </w:pPr>
    <w:rPr>
      <w:rFonts w:cstheme="minorBidi"/>
      <w:sz w:val="20"/>
    </w:rPr>
  </w:style>
  <w:style w:type="paragraph" w:customStyle="1" w:styleId="Author">
    <w:name w:val="Author"/>
    <w:next w:val="BodyText"/>
    <w:qFormat/>
    <w:rsid w:val="00C64789"/>
    <w:pPr>
      <w:keepNext/>
      <w:keepLines/>
      <w:spacing w:after="200" w:line="240" w:lineRule="auto"/>
      <w:jc w:val="center"/>
    </w:pPr>
    <w:rPr>
      <w:kern w:val="0"/>
      <w:sz w:val="24"/>
      <w:szCs w:val="24"/>
    </w:rPr>
  </w:style>
  <w:style w:type="paragraph" w:styleId="Date">
    <w:name w:val="Date"/>
    <w:next w:val="BodyText"/>
    <w:link w:val="DateChar"/>
    <w:qFormat/>
    <w:rsid w:val="00C64789"/>
    <w:pPr>
      <w:keepNext/>
      <w:keepLines/>
      <w:spacing w:after="200" w:line="240" w:lineRule="auto"/>
      <w:jc w:val="center"/>
    </w:pPr>
    <w:rPr>
      <w:kern w:val="0"/>
      <w:sz w:val="24"/>
      <w:szCs w:val="24"/>
    </w:rPr>
  </w:style>
  <w:style w:type="character" w:customStyle="1" w:styleId="DateChar">
    <w:name w:val="Date Char"/>
    <w:basedOn w:val="DefaultParagraphFont"/>
    <w:link w:val="Date"/>
    <w:rsid w:val="00C64789"/>
    <w:rPr>
      <w:kern w:val="0"/>
      <w:sz w:val="24"/>
      <w:szCs w:val="24"/>
    </w:rPr>
  </w:style>
  <w:style w:type="paragraph" w:customStyle="1" w:styleId="AbstractTitle">
    <w:name w:val="Abstract Title"/>
    <w:basedOn w:val="Normal"/>
    <w:next w:val="Abstract"/>
    <w:qFormat/>
    <w:rsid w:val="00C64789"/>
    <w:pPr>
      <w:keepNext/>
      <w:keepLines/>
      <w:spacing w:before="300" w:after="0" w:line="252" w:lineRule="auto"/>
      <w:jc w:val="center"/>
    </w:pPr>
    <w:rPr>
      <w:rFonts w:ascii="Times New Roman" w:eastAsia="Times New Roman" w:hAnsi="Times New Roman" w:cstheme="minorBidi"/>
      <w:b/>
      <w:color w:val="345A8A"/>
      <w:sz w:val="20"/>
      <w:szCs w:val="20"/>
    </w:rPr>
  </w:style>
  <w:style w:type="paragraph" w:customStyle="1" w:styleId="Abstract">
    <w:name w:val="Abstract"/>
    <w:basedOn w:val="Normal"/>
    <w:next w:val="BodyText"/>
    <w:qFormat/>
    <w:rsid w:val="00C64789"/>
    <w:pPr>
      <w:keepNext/>
      <w:keepLines/>
      <w:spacing w:before="100" w:after="300" w:line="252" w:lineRule="auto"/>
    </w:pPr>
    <w:rPr>
      <w:rFonts w:ascii="Times New Roman" w:eastAsia="Times New Roman" w:hAnsi="Times New Roman" w:cstheme="minorBidi"/>
      <w:sz w:val="20"/>
      <w:szCs w:val="20"/>
    </w:rPr>
  </w:style>
  <w:style w:type="paragraph" w:styleId="BlockText">
    <w:name w:val="Block Text"/>
    <w:basedOn w:val="BodyText"/>
    <w:next w:val="BodyText"/>
    <w:uiPriority w:val="9"/>
    <w:unhideWhenUsed/>
    <w:qFormat/>
    <w:rsid w:val="00C64789"/>
    <w:pPr>
      <w:widowControl/>
      <w:autoSpaceDE/>
      <w:autoSpaceDN/>
      <w:spacing w:beforeAutospacing="0" w:after="100" w:line="252" w:lineRule="auto"/>
      <w:ind w:left="480" w:right="480"/>
      <w:jc w:val="left"/>
    </w:pPr>
    <w:rPr>
      <w:rFonts w:cstheme="minorBidi"/>
      <w:sz w:val="20"/>
    </w:rPr>
  </w:style>
  <w:style w:type="paragraph" w:customStyle="1" w:styleId="FootnoteBlockText">
    <w:name w:val="Footnote Block Text"/>
    <w:uiPriority w:val="9"/>
    <w:unhideWhenUsed/>
    <w:qFormat/>
    <w:rsid w:val="00C64789"/>
    <w:pPr>
      <w:spacing w:before="100" w:after="100" w:line="240" w:lineRule="auto"/>
      <w:ind w:left="480" w:right="480"/>
    </w:pPr>
    <w:rPr>
      <w:kern w:val="0"/>
      <w:sz w:val="24"/>
      <w:szCs w:val="24"/>
    </w:rPr>
  </w:style>
  <w:style w:type="table" w:customStyle="1" w:styleId="Table">
    <w:name w:val="Table"/>
    <w:semiHidden/>
    <w:unhideWhenUsed/>
    <w:qFormat/>
    <w:rsid w:val="00C64789"/>
    <w:pPr>
      <w:spacing w:after="200" w:line="240" w:lineRule="auto"/>
    </w:pPr>
    <w:rPr>
      <w:kern w:val="0"/>
      <w:sz w:val="24"/>
      <w:szCs w:val="24"/>
      <w:lang w:val="en-IN" w:eastAsia="en-IN"/>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C64789"/>
    <w:pPr>
      <w:keepNext/>
      <w:keepLines/>
      <w:spacing w:after="0" w:line="252" w:lineRule="auto"/>
    </w:pPr>
    <w:rPr>
      <w:rFonts w:ascii="Times New Roman" w:eastAsia="Times New Roman" w:hAnsi="Times New Roman" w:cstheme="minorBidi"/>
      <w:b/>
      <w:sz w:val="20"/>
      <w:szCs w:val="24"/>
    </w:rPr>
  </w:style>
  <w:style w:type="paragraph" w:customStyle="1" w:styleId="Definition">
    <w:name w:val="Definition"/>
    <w:basedOn w:val="Normal"/>
    <w:rsid w:val="00C64789"/>
    <w:pPr>
      <w:spacing w:after="60" w:line="252" w:lineRule="auto"/>
    </w:pPr>
    <w:rPr>
      <w:rFonts w:ascii="Times New Roman" w:eastAsia="Times New Roman" w:hAnsi="Times New Roman" w:cstheme="minorBidi"/>
      <w:sz w:val="20"/>
      <w:szCs w:val="24"/>
    </w:rPr>
  </w:style>
  <w:style w:type="paragraph" w:customStyle="1" w:styleId="TableCaption">
    <w:name w:val="Table Caption"/>
    <w:basedOn w:val="Caption"/>
    <w:rsid w:val="00C64789"/>
    <w:pPr>
      <w:keepNext/>
      <w:spacing w:before="0" w:beforeAutospacing="0" w:after="120" w:line="252" w:lineRule="auto"/>
      <w:jc w:val="left"/>
    </w:pPr>
    <w:rPr>
      <w:rFonts w:eastAsia="Times New Roman" w:cstheme="minorBidi"/>
      <w:b w:val="0"/>
      <w:i/>
      <w:iCs w:val="0"/>
      <w:sz w:val="20"/>
    </w:rPr>
  </w:style>
  <w:style w:type="paragraph" w:customStyle="1" w:styleId="ImageCaption">
    <w:name w:val="Image Caption"/>
    <w:basedOn w:val="Caption"/>
    <w:rsid w:val="00C64789"/>
    <w:pPr>
      <w:spacing w:before="0" w:beforeAutospacing="0" w:after="120" w:line="252" w:lineRule="auto"/>
      <w:jc w:val="left"/>
    </w:pPr>
    <w:rPr>
      <w:rFonts w:eastAsia="Times New Roman" w:cstheme="minorBidi"/>
      <w:b w:val="0"/>
      <w:i/>
      <w:iCs w:val="0"/>
      <w:sz w:val="20"/>
    </w:rPr>
  </w:style>
  <w:style w:type="paragraph" w:customStyle="1" w:styleId="Figure">
    <w:name w:val="Figure"/>
    <w:basedOn w:val="Normal"/>
    <w:rsid w:val="00C64789"/>
    <w:pPr>
      <w:spacing w:after="60" w:line="252" w:lineRule="auto"/>
    </w:pPr>
    <w:rPr>
      <w:rFonts w:ascii="Times New Roman" w:eastAsia="Times New Roman" w:hAnsi="Times New Roman" w:cstheme="minorBidi"/>
      <w:sz w:val="20"/>
      <w:szCs w:val="24"/>
    </w:rPr>
  </w:style>
  <w:style w:type="paragraph" w:customStyle="1" w:styleId="CaptionedFigure">
    <w:name w:val="Captioned Figure"/>
    <w:basedOn w:val="Figure"/>
    <w:rsid w:val="00C64789"/>
    <w:pPr>
      <w:keepNext/>
    </w:pPr>
  </w:style>
  <w:style w:type="character" w:customStyle="1" w:styleId="VerbatimChar">
    <w:name w:val="Verbatim Char"/>
    <w:basedOn w:val="CaptionChar"/>
    <w:link w:val="SourceCode"/>
    <w:rsid w:val="00C64789"/>
    <w:rPr>
      <w:rFonts w:ascii="Consolas" w:eastAsia="Calibri" w:hAnsi="Consolas" w:cs="Times New Roman"/>
      <w:b/>
      <w:iCs/>
      <w:kern w:val="0"/>
      <w:sz w:val="24"/>
      <w:szCs w:val="24"/>
    </w:rPr>
  </w:style>
  <w:style w:type="character" w:customStyle="1" w:styleId="SectionNumber">
    <w:name w:val="Section Number"/>
    <w:basedOn w:val="CaptionChar"/>
    <w:rsid w:val="00C64789"/>
    <w:rPr>
      <w:rFonts w:ascii="Times New Roman" w:eastAsia="Calibri" w:hAnsi="Times New Roman" w:cs="Times New Roman"/>
      <w:b/>
      <w:iCs/>
      <w:kern w:val="0"/>
      <w:sz w:val="24"/>
      <w:szCs w:val="24"/>
    </w:rPr>
  </w:style>
  <w:style w:type="paragraph" w:customStyle="1" w:styleId="SourceCode">
    <w:name w:val="Source Code"/>
    <w:basedOn w:val="Normal"/>
    <w:link w:val="VerbatimChar"/>
    <w:rsid w:val="00C64789"/>
    <w:pPr>
      <w:wordWrap w:val="0"/>
      <w:spacing w:after="60" w:line="252" w:lineRule="auto"/>
    </w:pPr>
    <w:rPr>
      <w:rFonts w:ascii="Consolas" w:eastAsiaTheme="minorHAnsi" w:hAnsi="Consolas" w:cstheme="minorBidi"/>
      <w:kern w:val="2"/>
    </w:rPr>
  </w:style>
  <w:style w:type="character" w:customStyle="1" w:styleId="KeywordTok">
    <w:name w:val="KeywordTok"/>
    <w:basedOn w:val="VerbatimChar"/>
    <w:rsid w:val="00C64789"/>
    <w:rPr>
      <w:rFonts w:ascii="Consolas" w:eastAsia="Calibri" w:hAnsi="Consolas" w:cs="Times New Roman"/>
      <w:b/>
      <w:iCs/>
      <w:color w:val="007020"/>
      <w:kern w:val="0"/>
      <w:sz w:val="24"/>
      <w:szCs w:val="24"/>
    </w:rPr>
  </w:style>
  <w:style w:type="character" w:customStyle="1" w:styleId="DataTypeTok">
    <w:name w:val="DataTypeTok"/>
    <w:basedOn w:val="VerbatimChar"/>
    <w:rsid w:val="00C64789"/>
    <w:rPr>
      <w:rFonts w:ascii="Consolas" w:eastAsia="Calibri" w:hAnsi="Consolas" w:cs="Times New Roman"/>
      <w:b/>
      <w:iCs/>
      <w:color w:val="902000"/>
      <w:kern w:val="0"/>
      <w:sz w:val="24"/>
      <w:szCs w:val="24"/>
    </w:rPr>
  </w:style>
  <w:style w:type="character" w:customStyle="1" w:styleId="DecValTok">
    <w:name w:val="DecValTok"/>
    <w:basedOn w:val="VerbatimChar"/>
    <w:rsid w:val="00C64789"/>
    <w:rPr>
      <w:rFonts w:ascii="Consolas" w:eastAsia="Calibri" w:hAnsi="Consolas" w:cs="Times New Roman"/>
      <w:b/>
      <w:iCs/>
      <w:color w:val="40A070"/>
      <w:kern w:val="0"/>
      <w:sz w:val="24"/>
      <w:szCs w:val="24"/>
    </w:rPr>
  </w:style>
  <w:style w:type="character" w:customStyle="1" w:styleId="BaseNTok">
    <w:name w:val="BaseNTok"/>
    <w:basedOn w:val="VerbatimChar"/>
    <w:rsid w:val="00C64789"/>
    <w:rPr>
      <w:rFonts w:ascii="Consolas" w:eastAsia="Calibri" w:hAnsi="Consolas" w:cs="Times New Roman"/>
      <w:b/>
      <w:iCs/>
      <w:color w:val="40A070"/>
      <w:kern w:val="0"/>
      <w:sz w:val="24"/>
      <w:szCs w:val="24"/>
    </w:rPr>
  </w:style>
  <w:style w:type="character" w:customStyle="1" w:styleId="FloatTok">
    <w:name w:val="FloatTok"/>
    <w:basedOn w:val="VerbatimChar"/>
    <w:rsid w:val="00C64789"/>
    <w:rPr>
      <w:rFonts w:ascii="Consolas" w:eastAsia="Calibri" w:hAnsi="Consolas" w:cs="Times New Roman"/>
      <w:b/>
      <w:iCs/>
      <w:color w:val="40A070"/>
      <w:kern w:val="0"/>
      <w:sz w:val="24"/>
      <w:szCs w:val="24"/>
    </w:rPr>
  </w:style>
  <w:style w:type="character" w:customStyle="1" w:styleId="ConstantTok">
    <w:name w:val="ConstantTok"/>
    <w:basedOn w:val="VerbatimChar"/>
    <w:rsid w:val="00C64789"/>
    <w:rPr>
      <w:rFonts w:ascii="Consolas" w:eastAsia="Calibri" w:hAnsi="Consolas" w:cs="Times New Roman"/>
      <w:b/>
      <w:iCs/>
      <w:color w:val="880000"/>
      <w:kern w:val="0"/>
      <w:sz w:val="24"/>
      <w:szCs w:val="24"/>
    </w:rPr>
  </w:style>
  <w:style w:type="character" w:customStyle="1" w:styleId="CharTok">
    <w:name w:val="CharTok"/>
    <w:basedOn w:val="VerbatimChar"/>
    <w:rsid w:val="00C64789"/>
    <w:rPr>
      <w:rFonts w:ascii="Consolas" w:eastAsia="Calibri" w:hAnsi="Consolas" w:cs="Times New Roman"/>
      <w:b/>
      <w:iCs/>
      <w:color w:val="4070A0"/>
      <w:kern w:val="0"/>
      <w:sz w:val="24"/>
      <w:szCs w:val="24"/>
    </w:rPr>
  </w:style>
  <w:style w:type="character" w:customStyle="1" w:styleId="SpecialCharTok">
    <w:name w:val="SpecialCharTok"/>
    <w:basedOn w:val="VerbatimChar"/>
    <w:rsid w:val="00C64789"/>
    <w:rPr>
      <w:rFonts w:ascii="Consolas" w:eastAsia="Calibri" w:hAnsi="Consolas" w:cs="Times New Roman"/>
      <w:b/>
      <w:iCs/>
      <w:color w:val="4070A0"/>
      <w:kern w:val="0"/>
      <w:sz w:val="24"/>
      <w:szCs w:val="24"/>
    </w:rPr>
  </w:style>
  <w:style w:type="character" w:customStyle="1" w:styleId="StringTok">
    <w:name w:val="StringTok"/>
    <w:basedOn w:val="VerbatimChar"/>
    <w:rsid w:val="00C64789"/>
    <w:rPr>
      <w:rFonts w:ascii="Consolas" w:eastAsia="Calibri" w:hAnsi="Consolas" w:cs="Times New Roman"/>
      <w:b/>
      <w:iCs/>
      <w:color w:val="4070A0"/>
      <w:kern w:val="0"/>
      <w:sz w:val="24"/>
      <w:szCs w:val="24"/>
    </w:rPr>
  </w:style>
  <w:style w:type="character" w:customStyle="1" w:styleId="VerbatimStringTok">
    <w:name w:val="VerbatimStringTok"/>
    <w:basedOn w:val="VerbatimChar"/>
    <w:rsid w:val="00C64789"/>
    <w:rPr>
      <w:rFonts w:ascii="Consolas" w:eastAsia="Calibri" w:hAnsi="Consolas" w:cs="Times New Roman"/>
      <w:b/>
      <w:iCs/>
      <w:color w:val="4070A0"/>
      <w:kern w:val="0"/>
      <w:sz w:val="24"/>
      <w:szCs w:val="24"/>
    </w:rPr>
  </w:style>
  <w:style w:type="character" w:customStyle="1" w:styleId="SpecialStringTok">
    <w:name w:val="SpecialStringTok"/>
    <w:basedOn w:val="VerbatimChar"/>
    <w:rsid w:val="00C64789"/>
    <w:rPr>
      <w:rFonts w:ascii="Consolas" w:eastAsia="Calibri" w:hAnsi="Consolas" w:cs="Times New Roman"/>
      <w:b/>
      <w:iCs/>
      <w:color w:val="BB6688"/>
      <w:kern w:val="0"/>
      <w:sz w:val="24"/>
      <w:szCs w:val="24"/>
    </w:rPr>
  </w:style>
  <w:style w:type="character" w:customStyle="1" w:styleId="ImportTok">
    <w:name w:val="ImportTok"/>
    <w:basedOn w:val="VerbatimChar"/>
    <w:rsid w:val="00C64789"/>
    <w:rPr>
      <w:rFonts w:ascii="Consolas" w:eastAsia="Calibri" w:hAnsi="Consolas" w:cs="Times New Roman"/>
      <w:b/>
      <w:iCs/>
      <w:color w:val="008000"/>
      <w:kern w:val="0"/>
      <w:sz w:val="24"/>
      <w:szCs w:val="24"/>
    </w:rPr>
  </w:style>
  <w:style w:type="character" w:customStyle="1" w:styleId="CommentTok">
    <w:name w:val="CommentTok"/>
    <w:basedOn w:val="VerbatimChar"/>
    <w:rsid w:val="00C64789"/>
    <w:rPr>
      <w:rFonts w:ascii="Consolas" w:eastAsia="Calibri" w:hAnsi="Consolas" w:cs="Times New Roman"/>
      <w:b/>
      <w:i/>
      <w:iCs/>
      <w:color w:val="60A0B0"/>
      <w:kern w:val="0"/>
      <w:sz w:val="24"/>
      <w:szCs w:val="24"/>
    </w:rPr>
  </w:style>
  <w:style w:type="character" w:customStyle="1" w:styleId="DocumentationTok">
    <w:name w:val="DocumentationTok"/>
    <w:basedOn w:val="VerbatimChar"/>
    <w:rsid w:val="00C64789"/>
    <w:rPr>
      <w:rFonts w:ascii="Consolas" w:eastAsia="Calibri" w:hAnsi="Consolas" w:cs="Times New Roman"/>
      <w:b/>
      <w:i/>
      <w:iCs/>
      <w:color w:val="BA2121"/>
      <w:kern w:val="0"/>
      <w:sz w:val="24"/>
      <w:szCs w:val="24"/>
    </w:rPr>
  </w:style>
  <w:style w:type="character" w:customStyle="1" w:styleId="AnnotationTok">
    <w:name w:val="AnnotationTok"/>
    <w:basedOn w:val="VerbatimChar"/>
    <w:rsid w:val="00C64789"/>
    <w:rPr>
      <w:rFonts w:ascii="Consolas" w:eastAsia="Calibri" w:hAnsi="Consolas" w:cs="Times New Roman"/>
      <w:b/>
      <w:i/>
      <w:iCs/>
      <w:color w:val="60A0B0"/>
      <w:kern w:val="0"/>
      <w:sz w:val="24"/>
      <w:szCs w:val="24"/>
    </w:rPr>
  </w:style>
  <w:style w:type="character" w:customStyle="1" w:styleId="CommentVarTok">
    <w:name w:val="CommentVarTok"/>
    <w:basedOn w:val="VerbatimChar"/>
    <w:rsid w:val="00C64789"/>
    <w:rPr>
      <w:rFonts w:ascii="Consolas" w:eastAsia="Calibri" w:hAnsi="Consolas" w:cs="Times New Roman"/>
      <w:b/>
      <w:i/>
      <w:iCs/>
      <w:color w:val="60A0B0"/>
      <w:kern w:val="0"/>
      <w:sz w:val="24"/>
      <w:szCs w:val="24"/>
    </w:rPr>
  </w:style>
  <w:style w:type="character" w:customStyle="1" w:styleId="OtherTok">
    <w:name w:val="OtherTok"/>
    <w:basedOn w:val="VerbatimChar"/>
    <w:rsid w:val="00C64789"/>
    <w:rPr>
      <w:rFonts w:ascii="Consolas" w:eastAsia="Calibri" w:hAnsi="Consolas" w:cs="Times New Roman"/>
      <w:b/>
      <w:iCs/>
      <w:color w:val="007020"/>
      <w:kern w:val="0"/>
      <w:sz w:val="24"/>
      <w:szCs w:val="24"/>
    </w:rPr>
  </w:style>
  <w:style w:type="character" w:customStyle="1" w:styleId="FunctionTok">
    <w:name w:val="FunctionTok"/>
    <w:basedOn w:val="VerbatimChar"/>
    <w:rsid w:val="00C64789"/>
    <w:rPr>
      <w:rFonts w:ascii="Consolas" w:eastAsia="Calibri" w:hAnsi="Consolas" w:cs="Times New Roman"/>
      <w:b/>
      <w:iCs/>
      <w:color w:val="06287E"/>
      <w:kern w:val="0"/>
      <w:sz w:val="24"/>
      <w:szCs w:val="24"/>
    </w:rPr>
  </w:style>
  <w:style w:type="character" w:customStyle="1" w:styleId="VariableTok">
    <w:name w:val="VariableTok"/>
    <w:basedOn w:val="VerbatimChar"/>
    <w:rsid w:val="00C64789"/>
    <w:rPr>
      <w:rFonts w:ascii="Consolas" w:eastAsia="Calibri" w:hAnsi="Consolas" w:cs="Times New Roman"/>
      <w:b/>
      <w:iCs/>
      <w:color w:val="19177C"/>
      <w:kern w:val="0"/>
      <w:sz w:val="24"/>
      <w:szCs w:val="24"/>
    </w:rPr>
  </w:style>
  <w:style w:type="character" w:customStyle="1" w:styleId="ControlFlowTok">
    <w:name w:val="ControlFlowTok"/>
    <w:basedOn w:val="VerbatimChar"/>
    <w:rsid w:val="00C64789"/>
    <w:rPr>
      <w:rFonts w:ascii="Consolas" w:eastAsia="Calibri" w:hAnsi="Consolas" w:cs="Times New Roman"/>
      <w:b/>
      <w:iCs/>
      <w:color w:val="007020"/>
      <w:kern w:val="0"/>
      <w:sz w:val="24"/>
      <w:szCs w:val="24"/>
    </w:rPr>
  </w:style>
  <w:style w:type="character" w:customStyle="1" w:styleId="OperatorTok">
    <w:name w:val="OperatorTok"/>
    <w:basedOn w:val="VerbatimChar"/>
    <w:rsid w:val="00C64789"/>
    <w:rPr>
      <w:rFonts w:ascii="Consolas" w:eastAsia="Calibri" w:hAnsi="Consolas" w:cs="Times New Roman"/>
      <w:b/>
      <w:iCs/>
      <w:color w:val="666666"/>
      <w:kern w:val="0"/>
      <w:sz w:val="24"/>
      <w:szCs w:val="24"/>
    </w:rPr>
  </w:style>
  <w:style w:type="character" w:customStyle="1" w:styleId="BuiltInTok">
    <w:name w:val="BuiltInTok"/>
    <w:basedOn w:val="VerbatimChar"/>
    <w:rsid w:val="00C64789"/>
    <w:rPr>
      <w:rFonts w:ascii="Consolas" w:eastAsia="Calibri" w:hAnsi="Consolas" w:cs="Times New Roman"/>
      <w:b/>
      <w:iCs/>
      <w:color w:val="008000"/>
      <w:kern w:val="0"/>
      <w:sz w:val="24"/>
      <w:szCs w:val="24"/>
    </w:rPr>
  </w:style>
  <w:style w:type="character" w:customStyle="1" w:styleId="ExtensionTok">
    <w:name w:val="ExtensionTok"/>
    <w:basedOn w:val="VerbatimChar"/>
    <w:rsid w:val="00C64789"/>
    <w:rPr>
      <w:rFonts w:ascii="Consolas" w:eastAsia="Calibri" w:hAnsi="Consolas" w:cs="Times New Roman"/>
      <w:b/>
      <w:iCs/>
      <w:kern w:val="0"/>
      <w:sz w:val="24"/>
      <w:szCs w:val="24"/>
    </w:rPr>
  </w:style>
  <w:style w:type="character" w:customStyle="1" w:styleId="PreprocessorTok">
    <w:name w:val="PreprocessorTok"/>
    <w:basedOn w:val="VerbatimChar"/>
    <w:rsid w:val="00C64789"/>
    <w:rPr>
      <w:rFonts w:ascii="Consolas" w:eastAsia="Calibri" w:hAnsi="Consolas" w:cs="Times New Roman"/>
      <w:b/>
      <w:iCs/>
      <w:color w:val="BC7A00"/>
      <w:kern w:val="0"/>
      <w:sz w:val="24"/>
      <w:szCs w:val="24"/>
    </w:rPr>
  </w:style>
  <w:style w:type="character" w:customStyle="1" w:styleId="AttributeTok">
    <w:name w:val="AttributeTok"/>
    <w:basedOn w:val="VerbatimChar"/>
    <w:rsid w:val="00C64789"/>
    <w:rPr>
      <w:rFonts w:ascii="Consolas" w:eastAsia="Calibri" w:hAnsi="Consolas" w:cs="Times New Roman"/>
      <w:b/>
      <w:iCs/>
      <w:color w:val="7D9029"/>
      <w:kern w:val="0"/>
      <w:sz w:val="24"/>
      <w:szCs w:val="24"/>
    </w:rPr>
  </w:style>
  <w:style w:type="character" w:customStyle="1" w:styleId="RegionMarkerTok">
    <w:name w:val="RegionMarkerTok"/>
    <w:basedOn w:val="VerbatimChar"/>
    <w:rsid w:val="00C64789"/>
    <w:rPr>
      <w:rFonts w:ascii="Consolas" w:eastAsia="Calibri" w:hAnsi="Consolas" w:cs="Times New Roman"/>
      <w:b/>
      <w:iCs/>
      <w:kern w:val="0"/>
      <w:sz w:val="24"/>
      <w:szCs w:val="24"/>
    </w:rPr>
  </w:style>
  <w:style w:type="character" w:customStyle="1" w:styleId="InformationTok">
    <w:name w:val="InformationTok"/>
    <w:basedOn w:val="VerbatimChar"/>
    <w:rsid w:val="00C64789"/>
    <w:rPr>
      <w:rFonts w:ascii="Consolas" w:eastAsia="Calibri" w:hAnsi="Consolas" w:cs="Times New Roman"/>
      <w:b/>
      <w:i/>
      <w:iCs/>
      <w:color w:val="60A0B0"/>
      <w:kern w:val="0"/>
      <w:sz w:val="24"/>
      <w:szCs w:val="24"/>
    </w:rPr>
  </w:style>
  <w:style w:type="character" w:customStyle="1" w:styleId="WarningTok">
    <w:name w:val="WarningTok"/>
    <w:basedOn w:val="VerbatimChar"/>
    <w:rsid w:val="00C64789"/>
    <w:rPr>
      <w:rFonts w:ascii="Consolas" w:eastAsia="Calibri" w:hAnsi="Consolas" w:cs="Times New Roman"/>
      <w:b/>
      <w:i/>
      <w:iCs/>
      <w:color w:val="60A0B0"/>
      <w:kern w:val="0"/>
      <w:sz w:val="24"/>
      <w:szCs w:val="24"/>
    </w:rPr>
  </w:style>
  <w:style w:type="character" w:customStyle="1" w:styleId="AlertTok">
    <w:name w:val="AlertTok"/>
    <w:basedOn w:val="VerbatimChar"/>
    <w:rsid w:val="00C64789"/>
    <w:rPr>
      <w:rFonts w:ascii="Consolas" w:eastAsia="Calibri" w:hAnsi="Consolas" w:cs="Times New Roman"/>
      <w:b/>
      <w:iCs/>
      <w:color w:val="FF0000"/>
      <w:kern w:val="0"/>
      <w:sz w:val="24"/>
      <w:szCs w:val="24"/>
    </w:rPr>
  </w:style>
  <w:style w:type="character" w:customStyle="1" w:styleId="ErrorTok">
    <w:name w:val="ErrorTok"/>
    <w:basedOn w:val="VerbatimChar"/>
    <w:rsid w:val="00C64789"/>
    <w:rPr>
      <w:rFonts w:ascii="Consolas" w:eastAsia="Calibri" w:hAnsi="Consolas" w:cs="Times New Roman"/>
      <w:b/>
      <w:iCs/>
      <w:color w:val="FF0000"/>
      <w:kern w:val="0"/>
      <w:sz w:val="24"/>
      <w:szCs w:val="24"/>
    </w:rPr>
  </w:style>
  <w:style w:type="character" w:customStyle="1" w:styleId="NormalTok">
    <w:name w:val="NormalTok"/>
    <w:basedOn w:val="VerbatimChar"/>
    <w:rsid w:val="00C64789"/>
    <w:rPr>
      <w:rFonts w:ascii="Consolas" w:eastAsia="Calibri" w:hAnsi="Consolas" w:cs="Times New Roman"/>
      <w:b/>
      <w:iCs/>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4652">
      <w:bodyDiv w:val="1"/>
      <w:marLeft w:val="0"/>
      <w:marRight w:val="0"/>
      <w:marTop w:val="0"/>
      <w:marBottom w:val="0"/>
      <w:divBdr>
        <w:top w:val="none" w:sz="0" w:space="0" w:color="auto"/>
        <w:left w:val="none" w:sz="0" w:space="0" w:color="auto"/>
        <w:bottom w:val="none" w:sz="0" w:space="0" w:color="auto"/>
        <w:right w:val="none" w:sz="0" w:space="0" w:color="auto"/>
      </w:divBdr>
    </w:div>
    <w:div w:id="143550158">
      <w:bodyDiv w:val="1"/>
      <w:marLeft w:val="0"/>
      <w:marRight w:val="0"/>
      <w:marTop w:val="0"/>
      <w:marBottom w:val="0"/>
      <w:divBdr>
        <w:top w:val="none" w:sz="0" w:space="0" w:color="auto"/>
        <w:left w:val="none" w:sz="0" w:space="0" w:color="auto"/>
        <w:bottom w:val="none" w:sz="0" w:space="0" w:color="auto"/>
        <w:right w:val="none" w:sz="0" w:space="0" w:color="auto"/>
      </w:divBdr>
    </w:div>
    <w:div w:id="166679206">
      <w:bodyDiv w:val="1"/>
      <w:marLeft w:val="0"/>
      <w:marRight w:val="0"/>
      <w:marTop w:val="0"/>
      <w:marBottom w:val="0"/>
      <w:divBdr>
        <w:top w:val="none" w:sz="0" w:space="0" w:color="auto"/>
        <w:left w:val="none" w:sz="0" w:space="0" w:color="auto"/>
        <w:bottom w:val="none" w:sz="0" w:space="0" w:color="auto"/>
        <w:right w:val="none" w:sz="0" w:space="0" w:color="auto"/>
      </w:divBdr>
    </w:div>
    <w:div w:id="237175310">
      <w:bodyDiv w:val="1"/>
      <w:marLeft w:val="0"/>
      <w:marRight w:val="0"/>
      <w:marTop w:val="0"/>
      <w:marBottom w:val="0"/>
      <w:divBdr>
        <w:top w:val="none" w:sz="0" w:space="0" w:color="auto"/>
        <w:left w:val="none" w:sz="0" w:space="0" w:color="auto"/>
        <w:bottom w:val="none" w:sz="0" w:space="0" w:color="auto"/>
        <w:right w:val="none" w:sz="0" w:space="0" w:color="auto"/>
      </w:divBdr>
    </w:div>
    <w:div w:id="293565515">
      <w:bodyDiv w:val="1"/>
      <w:marLeft w:val="0"/>
      <w:marRight w:val="0"/>
      <w:marTop w:val="0"/>
      <w:marBottom w:val="0"/>
      <w:divBdr>
        <w:top w:val="none" w:sz="0" w:space="0" w:color="auto"/>
        <w:left w:val="none" w:sz="0" w:space="0" w:color="auto"/>
        <w:bottom w:val="none" w:sz="0" w:space="0" w:color="auto"/>
        <w:right w:val="none" w:sz="0" w:space="0" w:color="auto"/>
      </w:divBdr>
    </w:div>
    <w:div w:id="543174190">
      <w:bodyDiv w:val="1"/>
      <w:marLeft w:val="0"/>
      <w:marRight w:val="0"/>
      <w:marTop w:val="0"/>
      <w:marBottom w:val="0"/>
      <w:divBdr>
        <w:top w:val="none" w:sz="0" w:space="0" w:color="auto"/>
        <w:left w:val="none" w:sz="0" w:space="0" w:color="auto"/>
        <w:bottom w:val="none" w:sz="0" w:space="0" w:color="auto"/>
        <w:right w:val="none" w:sz="0" w:space="0" w:color="auto"/>
      </w:divBdr>
    </w:div>
    <w:div w:id="633944976">
      <w:bodyDiv w:val="1"/>
      <w:marLeft w:val="0"/>
      <w:marRight w:val="0"/>
      <w:marTop w:val="0"/>
      <w:marBottom w:val="0"/>
      <w:divBdr>
        <w:top w:val="none" w:sz="0" w:space="0" w:color="auto"/>
        <w:left w:val="none" w:sz="0" w:space="0" w:color="auto"/>
        <w:bottom w:val="none" w:sz="0" w:space="0" w:color="auto"/>
        <w:right w:val="none" w:sz="0" w:space="0" w:color="auto"/>
      </w:divBdr>
    </w:div>
    <w:div w:id="860707272">
      <w:bodyDiv w:val="1"/>
      <w:marLeft w:val="0"/>
      <w:marRight w:val="0"/>
      <w:marTop w:val="0"/>
      <w:marBottom w:val="0"/>
      <w:divBdr>
        <w:top w:val="none" w:sz="0" w:space="0" w:color="auto"/>
        <w:left w:val="none" w:sz="0" w:space="0" w:color="auto"/>
        <w:bottom w:val="none" w:sz="0" w:space="0" w:color="auto"/>
        <w:right w:val="none" w:sz="0" w:space="0" w:color="auto"/>
      </w:divBdr>
    </w:div>
    <w:div w:id="891232379">
      <w:bodyDiv w:val="1"/>
      <w:marLeft w:val="0"/>
      <w:marRight w:val="0"/>
      <w:marTop w:val="0"/>
      <w:marBottom w:val="0"/>
      <w:divBdr>
        <w:top w:val="none" w:sz="0" w:space="0" w:color="auto"/>
        <w:left w:val="none" w:sz="0" w:space="0" w:color="auto"/>
        <w:bottom w:val="none" w:sz="0" w:space="0" w:color="auto"/>
        <w:right w:val="none" w:sz="0" w:space="0" w:color="auto"/>
      </w:divBdr>
    </w:div>
    <w:div w:id="903610975">
      <w:bodyDiv w:val="1"/>
      <w:marLeft w:val="0"/>
      <w:marRight w:val="0"/>
      <w:marTop w:val="0"/>
      <w:marBottom w:val="0"/>
      <w:divBdr>
        <w:top w:val="none" w:sz="0" w:space="0" w:color="auto"/>
        <w:left w:val="none" w:sz="0" w:space="0" w:color="auto"/>
        <w:bottom w:val="none" w:sz="0" w:space="0" w:color="auto"/>
        <w:right w:val="none" w:sz="0" w:space="0" w:color="auto"/>
      </w:divBdr>
    </w:div>
    <w:div w:id="906646703">
      <w:bodyDiv w:val="1"/>
      <w:marLeft w:val="0"/>
      <w:marRight w:val="0"/>
      <w:marTop w:val="0"/>
      <w:marBottom w:val="0"/>
      <w:divBdr>
        <w:top w:val="none" w:sz="0" w:space="0" w:color="auto"/>
        <w:left w:val="none" w:sz="0" w:space="0" w:color="auto"/>
        <w:bottom w:val="none" w:sz="0" w:space="0" w:color="auto"/>
        <w:right w:val="none" w:sz="0" w:space="0" w:color="auto"/>
      </w:divBdr>
    </w:div>
    <w:div w:id="1149401302">
      <w:bodyDiv w:val="1"/>
      <w:marLeft w:val="0"/>
      <w:marRight w:val="0"/>
      <w:marTop w:val="0"/>
      <w:marBottom w:val="0"/>
      <w:divBdr>
        <w:top w:val="none" w:sz="0" w:space="0" w:color="auto"/>
        <w:left w:val="none" w:sz="0" w:space="0" w:color="auto"/>
        <w:bottom w:val="none" w:sz="0" w:space="0" w:color="auto"/>
        <w:right w:val="none" w:sz="0" w:space="0" w:color="auto"/>
      </w:divBdr>
    </w:div>
    <w:div w:id="1229000085">
      <w:bodyDiv w:val="1"/>
      <w:marLeft w:val="0"/>
      <w:marRight w:val="0"/>
      <w:marTop w:val="0"/>
      <w:marBottom w:val="0"/>
      <w:divBdr>
        <w:top w:val="none" w:sz="0" w:space="0" w:color="auto"/>
        <w:left w:val="none" w:sz="0" w:space="0" w:color="auto"/>
        <w:bottom w:val="none" w:sz="0" w:space="0" w:color="auto"/>
        <w:right w:val="none" w:sz="0" w:space="0" w:color="auto"/>
      </w:divBdr>
    </w:div>
    <w:div w:id="1268347836">
      <w:bodyDiv w:val="1"/>
      <w:marLeft w:val="0"/>
      <w:marRight w:val="0"/>
      <w:marTop w:val="0"/>
      <w:marBottom w:val="0"/>
      <w:divBdr>
        <w:top w:val="none" w:sz="0" w:space="0" w:color="auto"/>
        <w:left w:val="none" w:sz="0" w:space="0" w:color="auto"/>
        <w:bottom w:val="none" w:sz="0" w:space="0" w:color="auto"/>
        <w:right w:val="none" w:sz="0" w:space="0" w:color="auto"/>
      </w:divBdr>
    </w:div>
    <w:div w:id="1581020613">
      <w:bodyDiv w:val="1"/>
      <w:marLeft w:val="0"/>
      <w:marRight w:val="0"/>
      <w:marTop w:val="0"/>
      <w:marBottom w:val="0"/>
      <w:divBdr>
        <w:top w:val="none" w:sz="0" w:space="0" w:color="auto"/>
        <w:left w:val="none" w:sz="0" w:space="0" w:color="auto"/>
        <w:bottom w:val="none" w:sz="0" w:space="0" w:color="auto"/>
        <w:right w:val="none" w:sz="0" w:space="0" w:color="auto"/>
      </w:divBdr>
    </w:div>
    <w:div w:id="1627851971">
      <w:bodyDiv w:val="1"/>
      <w:marLeft w:val="0"/>
      <w:marRight w:val="0"/>
      <w:marTop w:val="0"/>
      <w:marBottom w:val="0"/>
      <w:divBdr>
        <w:top w:val="none" w:sz="0" w:space="0" w:color="auto"/>
        <w:left w:val="none" w:sz="0" w:space="0" w:color="auto"/>
        <w:bottom w:val="none" w:sz="0" w:space="0" w:color="auto"/>
        <w:right w:val="none" w:sz="0" w:space="0" w:color="auto"/>
      </w:divBdr>
    </w:div>
    <w:div w:id="1705671316">
      <w:bodyDiv w:val="1"/>
      <w:marLeft w:val="0"/>
      <w:marRight w:val="0"/>
      <w:marTop w:val="0"/>
      <w:marBottom w:val="0"/>
      <w:divBdr>
        <w:top w:val="none" w:sz="0" w:space="0" w:color="auto"/>
        <w:left w:val="none" w:sz="0" w:space="0" w:color="auto"/>
        <w:bottom w:val="none" w:sz="0" w:space="0" w:color="auto"/>
        <w:right w:val="none" w:sz="0" w:space="0" w:color="auto"/>
      </w:divBdr>
    </w:div>
    <w:div w:id="1710954315">
      <w:bodyDiv w:val="1"/>
      <w:marLeft w:val="0"/>
      <w:marRight w:val="0"/>
      <w:marTop w:val="0"/>
      <w:marBottom w:val="0"/>
      <w:divBdr>
        <w:top w:val="none" w:sz="0" w:space="0" w:color="auto"/>
        <w:left w:val="none" w:sz="0" w:space="0" w:color="auto"/>
        <w:bottom w:val="none" w:sz="0" w:space="0" w:color="auto"/>
        <w:right w:val="none" w:sz="0" w:space="0" w:color="auto"/>
      </w:divBdr>
    </w:div>
    <w:div w:id="1711758725">
      <w:bodyDiv w:val="1"/>
      <w:marLeft w:val="0"/>
      <w:marRight w:val="0"/>
      <w:marTop w:val="0"/>
      <w:marBottom w:val="0"/>
      <w:divBdr>
        <w:top w:val="none" w:sz="0" w:space="0" w:color="auto"/>
        <w:left w:val="none" w:sz="0" w:space="0" w:color="auto"/>
        <w:bottom w:val="none" w:sz="0" w:space="0" w:color="auto"/>
        <w:right w:val="none" w:sz="0" w:space="0" w:color="auto"/>
      </w:divBdr>
    </w:div>
    <w:div w:id="1793476968">
      <w:bodyDiv w:val="1"/>
      <w:marLeft w:val="0"/>
      <w:marRight w:val="0"/>
      <w:marTop w:val="0"/>
      <w:marBottom w:val="0"/>
      <w:divBdr>
        <w:top w:val="none" w:sz="0" w:space="0" w:color="auto"/>
        <w:left w:val="none" w:sz="0" w:space="0" w:color="auto"/>
        <w:bottom w:val="none" w:sz="0" w:space="0" w:color="auto"/>
        <w:right w:val="none" w:sz="0" w:space="0" w:color="auto"/>
      </w:divBdr>
    </w:div>
    <w:div w:id="1832406734">
      <w:bodyDiv w:val="1"/>
      <w:marLeft w:val="0"/>
      <w:marRight w:val="0"/>
      <w:marTop w:val="0"/>
      <w:marBottom w:val="0"/>
      <w:divBdr>
        <w:top w:val="none" w:sz="0" w:space="0" w:color="auto"/>
        <w:left w:val="none" w:sz="0" w:space="0" w:color="auto"/>
        <w:bottom w:val="none" w:sz="0" w:space="0" w:color="auto"/>
        <w:right w:val="none" w:sz="0" w:space="0" w:color="auto"/>
      </w:divBdr>
    </w:div>
    <w:div w:id="1841580386">
      <w:bodyDiv w:val="1"/>
      <w:marLeft w:val="0"/>
      <w:marRight w:val="0"/>
      <w:marTop w:val="0"/>
      <w:marBottom w:val="0"/>
      <w:divBdr>
        <w:top w:val="none" w:sz="0" w:space="0" w:color="auto"/>
        <w:left w:val="none" w:sz="0" w:space="0" w:color="auto"/>
        <w:bottom w:val="none" w:sz="0" w:space="0" w:color="auto"/>
        <w:right w:val="none" w:sz="0" w:space="0" w:color="auto"/>
      </w:divBdr>
    </w:div>
    <w:div w:id="1855538635">
      <w:bodyDiv w:val="1"/>
      <w:marLeft w:val="0"/>
      <w:marRight w:val="0"/>
      <w:marTop w:val="0"/>
      <w:marBottom w:val="0"/>
      <w:divBdr>
        <w:top w:val="none" w:sz="0" w:space="0" w:color="auto"/>
        <w:left w:val="none" w:sz="0" w:space="0" w:color="auto"/>
        <w:bottom w:val="none" w:sz="0" w:space="0" w:color="auto"/>
        <w:right w:val="none" w:sz="0" w:space="0" w:color="auto"/>
      </w:divBdr>
    </w:div>
    <w:div w:id="1898666835">
      <w:bodyDiv w:val="1"/>
      <w:marLeft w:val="0"/>
      <w:marRight w:val="0"/>
      <w:marTop w:val="0"/>
      <w:marBottom w:val="0"/>
      <w:divBdr>
        <w:top w:val="none" w:sz="0" w:space="0" w:color="auto"/>
        <w:left w:val="none" w:sz="0" w:space="0" w:color="auto"/>
        <w:bottom w:val="none" w:sz="0" w:space="0" w:color="auto"/>
        <w:right w:val="none" w:sz="0" w:space="0" w:color="auto"/>
      </w:divBdr>
    </w:div>
    <w:div w:id="1935474934">
      <w:bodyDiv w:val="1"/>
      <w:marLeft w:val="0"/>
      <w:marRight w:val="0"/>
      <w:marTop w:val="0"/>
      <w:marBottom w:val="0"/>
      <w:divBdr>
        <w:top w:val="none" w:sz="0" w:space="0" w:color="auto"/>
        <w:left w:val="none" w:sz="0" w:space="0" w:color="auto"/>
        <w:bottom w:val="none" w:sz="0" w:space="0" w:color="auto"/>
        <w:right w:val="none" w:sz="0" w:space="0" w:color="auto"/>
      </w:divBdr>
    </w:div>
    <w:div w:id="1952664275">
      <w:bodyDiv w:val="1"/>
      <w:marLeft w:val="0"/>
      <w:marRight w:val="0"/>
      <w:marTop w:val="0"/>
      <w:marBottom w:val="0"/>
      <w:divBdr>
        <w:top w:val="none" w:sz="0" w:space="0" w:color="auto"/>
        <w:left w:val="none" w:sz="0" w:space="0" w:color="auto"/>
        <w:bottom w:val="none" w:sz="0" w:space="0" w:color="auto"/>
        <w:right w:val="none" w:sz="0" w:space="0" w:color="auto"/>
      </w:divBdr>
    </w:div>
    <w:div w:id="1954704053">
      <w:bodyDiv w:val="1"/>
      <w:marLeft w:val="0"/>
      <w:marRight w:val="0"/>
      <w:marTop w:val="0"/>
      <w:marBottom w:val="0"/>
      <w:divBdr>
        <w:top w:val="none" w:sz="0" w:space="0" w:color="auto"/>
        <w:left w:val="none" w:sz="0" w:space="0" w:color="auto"/>
        <w:bottom w:val="none" w:sz="0" w:space="0" w:color="auto"/>
        <w:right w:val="none" w:sz="0" w:space="0" w:color="auto"/>
      </w:divBdr>
    </w:div>
    <w:div w:id="2020236487">
      <w:bodyDiv w:val="1"/>
      <w:marLeft w:val="0"/>
      <w:marRight w:val="0"/>
      <w:marTop w:val="0"/>
      <w:marBottom w:val="0"/>
      <w:divBdr>
        <w:top w:val="none" w:sz="0" w:space="0" w:color="auto"/>
        <w:left w:val="none" w:sz="0" w:space="0" w:color="auto"/>
        <w:bottom w:val="none" w:sz="0" w:space="0" w:color="auto"/>
        <w:right w:val="none" w:sz="0" w:space="0" w:color="auto"/>
      </w:divBdr>
    </w:div>
    <w:div w:id="20625100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68050/JAMSxxxxxx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Joã16</b:Tag>
    <b:SourceType>ArticleInAPeriodical</b:SourceType>
    <b:Guid>{CD4BA650-9F17-4E2F-BE16-837AB969C2B7}</b:Guid>
    <b:Title>Políticas públicas e agenda política</b:Title>
    <b:Year>2016</b:Year>
    <b:Author>
      <b:Author>
        <b:NameList>
          <b:Person>
            <b:Last>Bilhim</b:Last>
            <b:First>João</b:First>
            <b:Middle>Abreu</b:Middle>
          </b:Person>
        </b:NameList>
      </b:Author>
    </b:Author>
    <b:Month>Janeiro</b:Month>
    <b:RefOrder>1</b:RefOrder>
  </b:Source>
</b:Sources>
</file>

<file path=customXml/itemProps1.xml><?xml version="1.0" encoding="utf-8"?>
<ds:datastoreItem xmlns:ds="http://schemas.openxmlformats.org/officeDocument/2006/customXml" ds:itemID="{472FF93E-F14E-4D4F-B836-C538A065F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14607</Words>
  <Characters>83260</Characters>
  <Application>Microsoft Office Word</Application>
  <DocSecurity>0</DocSecurity>
  <Lines>693</Lines>
  <Paragraphs>195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Analysis of Efficient Home Office Management Strategies for Business Productivity: Practices and Challenges at BCX in Tete Province, Mozambique (2019-2024)</vt:lpstr>
      <vt:lpstr/>
    </vt:vector>
  </TitlesOfParts>
  <Company/>
  <LinksUpToDate>false</LinksUpToDate>
  <CharactersWithSpaces>97672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Efficient Home Office Management Strategies for Business Productivity: Practices and Challenges at BCX in Tete Province, Mozambique (2019-2024)</dc:title>
  <dc:subject>Managment</dc:subject>
  <dc:creator>Marteza Alfredo Catine</dc:creator>
  <cp:keywords>home office, efficient management, productivity, BCX Tete</cp:keywords>
  <cp:lastModifiedBy>alok yadav</cp:lastModifiedBy>
  <cp:revision>3</cp:revision>
  <dcterms:created xsi:type="dcterms:W3CDTF">2026-09-21T11:30:00Z</dcterms:created>
  <dcterms:modified xsi:type="dcterms:W3CDTF">2026-09-22T20:24:00Z</dcterms:modified>
  <cp:category>Managment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1aa6c3e4-232e-468a-ac7d-88ef5134a9ee</vt:lpwstr>
  </property>
</Properties>
</file>