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69A8" w14:textId="77777777" w:rsidR="00323294" w:rsidRPr="00323294" w:rsidRDefault="00323294" w:rsidP="00323294">
      <w:pPr>
        <w:pStyle w:val="NoSpacing"/>
        <w:spacing w:after="240"/>
        <w:jc w:val="center"/>
        <w:rPr>
          <w:rFonts w:ascii="Times New Roman" w:hAnsi="Times New Roman" w:cs="Times New Roman"/>
          <w:b/>
          <w:sz w:val="36"/>
          <w:szCs w:val="24"/>
        </w:rPr>
      </w:pPr>
      <w:r w:rsidRPr="00323294">
        <w:rPr>
          <w:rFonts w:ascii="Times New Roman" w:hAnsi="Times New Roman" w:cs="Times New Roman"/>
          <w:b/>
          <w:sz w:val="36"/>
          <w:szCs w:val="24"/>
        </w:rPr>
        <w:t>The Relationship between Vehicular Maintenance and Exhaust Gas Emissions: A Comprehensive Multi-Parametric Empirical Study in Municipal Area in Calabar, Nigeria.</w:t>
      </w:r>
    </w:p>
    <w:p w14:paraId="7CD43A54" w14:textId="77777777" w:rsidR="00323294" w:rsidRPr="00323294" w:rsidRDefault="00323294" w:rsidP="00323294">
      <w:pPr>
        <w:pStyle w:val="NoSpacing"/>
        <w:spacing w:after="240"/>
        <w:jc w:val="center"/>
        <w:rPr>
          <w:rFonts w:ascii="Times New Roman" w:hAnsi="Times New Roman" w:cs="Times New Roman"/>
          <w:b/>
          <w:sz w:val="24"/>
          <w:szCs w:val="24"/>
          <w:vertAlign w:val="superscript"/>
        </w:rPr>
      </w:pPr>
      <w:r w:rsidRPr="00323294">
        <w:rPr>
          <w:rFonts w:ascii="Times New Roman" w:hAnsi="Times New Roman" w:cs="Times New Roman"/>
          <w:b/>
          <w:sz w:val="24"/>
          <w:szCs w:val="24"/>
        </w:rPr>
        <w:t xml:space="preserve">Akwa, </w:t>
      </w:r>
      <w:proofErr w:type="spellStart"/>
      <w:r w:rsidRPr="00323294">
        <w:rPr>
          <w:rFonts w:ascii="Times New Roman" w:hAnsi="Times New Roman" w:cs="Times New Roman"/>
          <w:b/>
          <w:sz w:val="24"/>
          <w:szCs w:val="24"/>
        </w:rPr>
        <w:t>Anyoghe</w:t>
      </w:r>
      <w:proofErr w:type="spellEnd"/>
      <w:r w:rsidRPr="00323294">
        <w:rPr>
          <w:rFonts w:ascii="Times New Roman" w:hAnsi="Times New Roman" w:cs="Times New Roman"/>
          <w:b/>
          <w:sz w:val="24"/>
          <w:szCs w:val="24"/>
        </w:rPr>
        <w:t xml:space="preserve"> Enya</w:t>
      </w:r>
      <w:r w:rsidRPr="00323294">
        <w:rPr>
          <w:rFonts w:ascii="Times New Roman" w:hAnsi="Times New Roman" w:cs="Times New Roman"/>
          <w:b/>
          <w:sz w:val="24"/>
          <w:szCs w:val="24"/>
          <w:vertAlign w:val="superscript"/>
        </w:rPr>
        <w:t xml:space="preserve">1*, </w:t>
      </w:r>
      <w:r w:rsidRPr="00323294">
        <w:rPr>
          <w:rFonts w:ascii="Times New Roman" w:hAnsi="Times New Roman" w:cs="Times New Roman"/>
          <w:b/>
          <w:sz w:val="24"/>
          <w:szCs w:val="24"/>
        </w:rPr>
        <w:t>Egbe Jerome Godwin</w:t>
      </w:r>
      <w:r w:rsidRPr="00323294">
        <w:rPr>
          <w:rFonts w:ascii="Times New Roman" w:hAnsi="Times New Roman" w:cs="Times New Roman"/>
          <w:b/>
          <w:sz w:val="24"/>
          <w:szCs w:val="24"/>
          <w:vertAlign w:val="superscript"/>
        </w:rPr>
        <w:t xml:space="preserve">2, </w:t>
      </w:r>
      <w:r w:rsidRPr="00323294">
        <w:rPr>
          <w:rFonts w:ascii="Times New Roman" w:hAnsi="Times New Roman" w:cs="Times New Roman"/>
          <w:b/>
          <w:sz w:val="24"/>
          <w:szCs w:val="24"/>
        </w:rPr>
        <w:t>Simon Ellah Egomo</w:t>
      </w:r>
      <w:r w:rsidRPr="00323294">
        <w:rPr>
          <w:rFonts w:ascii="Times New Roman" w:hAnsi="Times New Roman" w:cs="Times New Roman"/>
          <w:b/>
          <w:sz w:val="24"/>
          <w:szCs w:val="24"/>
          <w:vertAlign w:val="superscript"/>
        </w:rPr>
        <w:t>3</w:t>
      </w:r>
    </w:p>
    <w:p w14:paraId="74CEA2B9" w14:textId="77777777" w:rsidR="00323294" w:rsidRPr="00323294" w:rsidRDefault="00323294" w:rsidP="00323294">
      <w:pPr>
        <w:pStyle w:val="NoSpacing"/>
        <w:spacing w:after="240"/>
        <w:jc w:val="center"/>
        <w:rPr>
          <w:rFonts w:ascii="Times New Roman" w:hAnsi="Times New Roman" w:cs="Times New Roman"/>
          <w:b/>
          <w:sz w:val="24"/>
          <w:szCs w:val="24"/>
        </w:rPr>
      </w:pPr>
      <w:r w:rsidRPr="00323294">
        <w:rPr>
          <w:rFonts w:ascii="Times New Roman" w:hAnsi="Times New Roman" w:cs="Times New Roman"/>
          <w:b/>
          <w:sz w:val="24"/>
          <w:szCs w:val="24"/>
          <w:vertAlign w:val="superscript"/>
        </w:rPr>
        <w:t>1</w:t>
      </w:r>
      <w:r w:rsidRPr="00323294">
        <w:rPr>
          <w:rFonts w:ascii="Times New Roman" w:hAnsi="Times New Roman" w:cs="Times New Roman"/>
          <w:b/>
          <w:sz w:val="24"/>
          <w:szCs w:val="24"/>
        </w:rPr>
        <w:t xml:space="preserve">Department of Civil Engineering Technology, Federal Polytechnic </w:t>
      </w:r>
      <w:proofErr w:type="spellStart"/>
      <w:r w:rsidRPr="00323294">
        <w:rPr>
          <w:rFonts w:ascii="Times New Roman" w:hAnsi="Times New Roman" w:cs="Times New Roman"/>
          <w:b/>
          <w:sz w:val="24"/>
          <w:szCs w:val="24"/>
        </w:rPr>
        <w:t>Ugep</w:t>
      </w:r>
      <w:proofErr w:type="spellEnd"/>
      <w:r w:rsidRPr="00323294">
        <w:rPr>
          <w:rFonts w:ascii="Times New Roman" w:hAnsi="Times New Roman" w:cs="Times New Roman"/>
          <w:b/>
          <w:sz w:val="24"/>
          <w:szCs w:val="24"/>
        </w:rPr>
        <w:t>, Cross River State, Nigeria</w:t>
      </w:r>
    </w:p>
    <w:p w14:paraId="364576F0" w14:textId="77777777" w:rsidR="00323294" w:rsidRPr="00323294" w:rsidRDefault="00323294" w:rsidP="00323294">
      <w:pPr>
        <w:pStyle w:val="NoSpacing"/>
        <w:spacing w:after="240"/>
        <w:jc w:val="center"/>
        <w:rPr>
          <w:rFonts w:ascii="Times New Roman" w:hAnsi="Times New Roman" w:cs="Times New Roman"/>
          <w:b/>
          <w:sz w:val="24"/>
          <w:szCs w:val="24"/>
        </w:rPr>
      </w:pPr>
      <w:r w:rsidRPr="00323294">
        <w:rPr>
          <w:rFonts w:ascii="Times New Roman" w:hAnsi="Times New Roman" w:cs="Times New Roman"/>
          <w:b/>
          <w:sz w:val="24"/>
          <w:szCs w:val="24"/>
          <w:vertAlign w:val="superscript"/>
        </w:rPr>
        <w:t>2</w:t>
      </w:r>
      <w:r w:rsidRPr="00323294">
        <w:rPr>
          <w:rFonts w:ascii="Times New Roman" w:hAnsi="Times New Roman" w:cs="Times New Roman"/>
          <w:b/>
          <w:sz w:val="24"/>
          <w:szCs w:val="24"/>
        </w:rPr>
        <w:t>Department of Civil Engineering, University of Cross River State. Cross River State, Nigeria.</w:t>
      </w:r>
    </w:p>
    <w:p w14:paraId="21F0A60A" w14:textId="77777777" w:rsidR="00323294" w:rsidRPr="00323294" w:rsidRDefault="00323294" w:rsidP="00323294">
      <w:pPr>
        <w:pStyle w:val="NoSpacing"/>
        <w:spacing w:after="240"/>
        <w:jc w:val="center"/>
        <w:rPr>
          <w:rFonts w:ascii="Times New Roman" w:hAnsi="Times New Roman" w:cs="Times New Roman"/>
          <w:b/>
          <w:sz w:val="24"/>
          <w:szCs w:val="24"/>
        </w:rPr>
      </w:pPr>
      <w:r w:rsidRPr="00323294">
        <w:rPr>
          <w:rFonts w:ascii="Times New Roman" w:hAnsi="Times New Roman" w:cs="Times New Roman"/>
          <w:b/>
          <w:sz w:val="24"/>
          <w:szCs w:val="24"/>
          <w:vertAlign w:val="superscript"/>
        </w:rPr>
        <w:t>3</w:t>
      </w:r>
      <w:r w:rsidRPr="00323294">
        <w:rPr>
          <w:rFonts w:ascii="Times New Roman" w:hAnsi="Times New Roman" w:cs="Times New Roman"/>
          <w:b/>
          <w:sz w:val="24"/>
          <w:szCs w:val="24"/>
        </w:rPr>
        <w:t xml:space="preserve">Department of Civil Engineering Technology, Federal Polytechnic </w:t>
      </w:r>
      <w:proofErr w:type="spellStart"/>
      <w:r w:rsidRPr="00323294">
        <w:rPr>
          <w:rFonts w:ascii="Times New Roman" w:hAnsi="Times New Roman" w:cs="Times New Roman"/>
          <w:b/>
          <w:sz w:val="24"/>
          <w:szCs w:val="24"/>
        </w:rPr>
        <w:t>Ugep</w:t>
      </w:r>
      <w:proofErr w:type="spellEnd"/>
      <w:r w:rsidRPr="00323294">
        <w:rPr>
          <w:rFonts w:ascii="Times New Roman" w:hAnsi="Times New Roman" w:cs="Times New Roman"/>
          <w:b/>
          <w:sz w:val="24"/>
          <w:szCs w:val="24"/>
        </w:rPr>
        <w:t>, Cross River State, Nigeria</w:t>
      </w:r>
    </w:p>
    <w:p w14:paraId="281E80BC" w14:textId="77777777" w:rsidR="00323294" w:rsidRPr="00323294" w:rsidRDefault="00323294" w:rsidP="00323294">
      <w:pPr>
        <w:pStyle w:val="NoSpacing"/>
        <w:spacing w:after="240"/>
        <w:jc w:val="center"/>
        <w:rPr>
          <w:rFonts w:ascii="Times New Roman" w:hAnsi="Times New Roman" w:cs="Times New Roman"/>
          <w:b/>
          <w:sz w:val="24"/>
          <w:szCs w:val="24"/>
        </w:rPr>
      </w:pPr>
      <w:r w:rsidRPr="00323294">
        <w:rPr>
          <w:rFonts w:ascii="Times New Roman" w:hAnsi="Times New Roman" w:cs="Times New Roman"/>
          <w:b/>
          <w:sz w:val="24"/>
          <w:szCs w:val="24"/>
        </w:rPr>
        <w:t>Corresponding Author *</w:t>
      </w:r>
    </w:p>
    <w:p w14:paraId="353D817E" w14:textId="4F8D69A1" w:rsidR="00323294" w:rsidRPr="00323294" w:rsidRDefault="00323294" w:rsidP="00323294">
      <w:pPr>
        <w:pStyle w:val="NoSpacing"/>
        <w:tabs>
          <w:tab w:val="center" w:pos="4988"/>
          <w:tab w:val="left" w:pos="10620"/>
        </w:tabs>
        <w:spacing w:after="240"/>
        <w:ind w:right="-17"/>
        <w:jc w:val="center"/>
        <w:rPr>
          <w:rFonts w:ascii="Times New Roman" w:hAnsi="Times New Roman" w:cs="Times New Roman"/>
          <w:b/>
          <w:color w:val="0070C0"/>
          <w:sz w:val="24"/>
          <w:szCs w:val="24"/>
          <w:u w:val="single"/>
        </w:rPr>
      </w:pPr>
      <w:r w:rsidRPr="00323294">
        <w:rPr>
          <w:rFonts w:ascii="Times New Roman" w:hAnsi="Times New Roman" w:cs="Times New Roman"/>
          <w:b/>
          <w:bCs/>
          <w:sz w:val="24"/>
          <w:szCs w:val="24"/>
        </w:rPr>
        <w:t xml:space="preserve">DOI: </w:t>
      </w:r>
      <w:hyperlink r:id="rId8" w:history="1">
        <w:r w:rsidRPr="00323294">
          <w:rPr>
            <w:rStyle w:val="Hyperlink"/>
            <w:rFonts w:ascii="Times New Roman" w:hAnsi="Times New Roman" w:cs="Times New Roman"/>
            <w:b/>
            <w:color w:val="0070C0"/>
            <w:sz w:val="24"/>
            <w:szCs w:val="24"/>
          </w:rPr>
          <w:t>https://doi.org/10.68050/JAMS</w:t>
        </w:r>
        <w:r w:rsidR="00B53BC9">
          <w:rPr>
            <w:rStyle w:val="Hyperlink"/>
            <w:rFonts w:ascii="Times New Roman" w:hAnsi="Times New Roman" w:cs="Times New Roman"/>
            <w:b/>
            <w:color w:val="0070C0"/>
            <w:sz w:val="24"/>
            <w:szCs w:val="24"/>
          </w:rPr>
          <w:t>.2026.535</w:t>
        </w:r>
      </w:hyperlink>
    </w:p>
    <w:p w14:paraId="139D8668" w14:textId="61FDF868" w:rsidR="00323294" w:rsidRPr="00323294" w:rsidRDefault="00323294" w:rsidP="00323294">
      <w:pPr>
        <w:tabs>
          <w:tab w:val="left" w:pos="10620"/>
        </w:tabs>
        <w:spacing w:after="240" w:line="240" w:lineRule="auto"/>
        <w:ind w:right="-17"/>
        <w:jc w:val="center"/>
        <w:rPr>
          <w:rFonts w:ascii="Times New Roman" w:hAnsi="Times New Roman"/>
          <w:b/>
          <w:sz w:val="24"/>
          <w:szCs w:val="24"/>
        </w:rPr>
      </w:pPr>
      <w:r w:rsidRPr="00323294">
        <w:rPr>
          <w:rFonts w:ascii="Times New Roman" w:hAnsi="Times New Roman"/>
          <w:b/>
          <w:sz w:val="24"/>
          <w:szCs w:val="24"/>
          <w:lang w:eastAsia="en-IN"/>
        </w:rPr>
        <w:t xml:space="preserve">Received: </w:t>
      </w:r>
      <w:r w:rsidR="005A4140">
        <w:rPr>
          <w:rFonts w:ascii="Times New Roman" w:hAnsi="Times New Roman"/>
          <w:b/>
          <w:sz w:val="24"/>
          <w:szCs w:val="24"/>
          <w:lang w:eastAsia="en-IN"/>
        </w:rPr>
        <w:t>19</w:t>
      </w:r>
      <w:r w:rsidRPr="00323294">
        <w:rPr>
          <w:rFonts w:ascii="Times New Roman" w:hAnsi="Times New Roman"/>
          <w:b/>
          <w:sz w:val="24"/>
          <w:szCs w:val="24"/>
          <w:lang w:eastAsia="en-IN"/>
        </w:rPr>
        <w:t xml:space="preserve"> </w:t>
      </w:r>
      <w:r w:rsidR="005A4140">
        <w:rPr>
          <w:rFonts w:ascii="Times New Roman" w:hAnsi="Times New Roman"/>
          <w:b/>
          <w:sz w:val="24"/>
          <w:szCs w:val="24"/>
          <w:lang w:eastAsia="en-IN"/>
        </w:rPr>
        <w:t>Sept</w:t>
      </w:r>
      <w:r w:rsidRPr="00323294">
        <w:rPr>
          <w:rFonts w:ascii="Times New Roman" w:hAnsi="Times New Roman"/>
          <w:b/>
          <w:sz w:val="24"/>
          <w:szCs w:val="24"/>
          <w:lang w:eastAsia="en-IN"/>
        </w:rPr>
        <w:t xml:space="preserve"> 2026; Accepted: </w:t>
      </w:r>
      <w:r w:rsidR="005A4140">
        <w:rPr>
          <w:rFonts w:ascii="Times New Roman" w:hAnsi="Times New Roman"/>
          <w:b/>
          <w:sz w:val="24"/>
          <w:szCs w:val="24"/>
          <w:lang w:eastAsia="en-IN"/>
        </w:rPr>
        <w:t>20</w:t>
      </w:r>
      <w:r w:rsidRPr="00323294">
        <w:rPr>
          <w:rFonts w:ascii="Times New Roman" w:hAnsi="Times New Roman"/>
          <w:b/>
          <w:sz w:val="24"/>
          <w:szCs w:val="24"/>
          <w:lang w:eastAsia="en-IN"/>
        </w:rPr>
        <w:t xml:space="preserve"> </w:t>
      </w:r>
      <w:r w:rsidR="005A4140">
        <w:rPr>
          <w:rFonts w:ascii="Times New Roman" w:hAnsi="Times New Roman"/>
          <w:b/>
          <w:sz w:val="24"/>
          <w:szCs w:val="24"/>
          <w:lang w:eastAsia="en-IN"/>
        </w:rPr>
        <w:t>Sept</w:t>
      </w:r>
      <w:r w:rsidRPr="00323294">
        <w:rPr>
          <w:rFonts w:ascii="Times New Roman" w:hAnsi="Times New Roman"/>
          <w:b/>
          <w:sz w:val="24"/>
          <w:szCs w:val="24"/>
          <w:lang w:eastAsia="en-IN"/>
        </w:rPr>
        <w:t xml:space="preserve"> 2026; Published: </w:t>
      </w:r>
      <w:r w:rsidR="005A4140">
        <w:rPr>
          <w:rFonts w:ascii="Times New Roman" w:hAnsi="Times New Roman"/>
          <w:b/>
          <w:sz w:val="24"/>
          <w:szCs w:val="24"/>
          <w:lang w:eastAsia="en-IN"/>
        </w:rPr>
        <w:t>22</w:t>
      </w:r>
      <w:r w:rsidRPr="00323294">
        <w:rPr>
          <w:rFonts w:ascii="Times New Roman" w:hAnsi="Times New Roman"/>
          <w:b/>
          <w:sz w:val="24"/>
          <w:szCs w:val="24"/>
          <w:lang w:eastAsia="en-IN"/>
        </w:rPr>
        <w:t xml:space="preserve"> </w:t>
      </w:r>
      <w:r w:rsidR="005A4140">
        <w:rPr>
          <w:rFonts w:ascii="Times New Roman" w:hAnsi="Times New Roman"/>
          <w:b/>
          <w:sz w:val="24"/>
          <w:szCs w:val="24"/>
          <w:lang w:eastAsia="en-IN"/>
        </w:rPr>
        <w:t>September</w:t>
      </w:r>
      <w:r w:rsidRPr="00323294">
        <w:rPr>
          <w:rFonts w:ascii="Times New Roman" w:hAnsi="Times New Roman"/>
          <w:b/>
          <w:sz w:val="24"/>
          <w:szCs w:val="24"/>
          <w:lang w:eastAsia="en-IN"/>
        </w:rPr>
        <w:t xml:space="preserve"> 2026</w:t>
      </w:r>
    </w:p>
    <w:p w14:paraId="1D3A1023"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8"/>
          <w:szCs w:val="24"/>
        </w:rPr>
        <w:t>ABSTRACT</w:t>
      </w:r>
      <w:r w:rsidRPr="00323294">
        <w:rPr>
          <w:rFonts w:ascii="Times New Roman" w:hAnsi="Times New Roman"/>
          <w:sz w:val="24"/>
          <w:szCs w:val="24"/>
        </w:rPr>
        <w:t xml:space="preserve">  </w:t>
      </w:r>
    </w:p>
    <w:p w14:paraId="5789C5B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Vehicle emissions are a major contributor to the deterioration of urban air quality, tropospheric pollution, and localized climate change in developing cities. This detailed study investigates the complex relationship between vehicle maintenance schedules, age, total mileage, and tailpipe emissions specifically carbon dioxide (CO2), carbon monoxide (CO), unburned hydrocarbons (UHC), and sulfur dioxide (SO2) in the rapidly growing urban area of Calabar, Nigeria. Data was collected from a carefully selected sample of 164 operational vehicles, including commercial heavy-duty transport, mass transit buses, light utility vans, and private cars. Advanced laboratory methods, including titration and spectrophotometry, were employed at the University of Calabar to measure carbon and sulfur emissions, while operational surveys gathered information on maintenance frequency, oil change intervals, and engine overhauls. Statistical regression analysis revealed a strong positive correlation (r = 0.84, p &lt; 0.01) between longer service intervals and increased emissions of harmful pollutants. Vehicles that exceeded the recommended maintenance schedules showed up to a 240% increase in carbon and sulfur emissions compared to those that were regularly serviced. Additionally, an analysis of fuel efficiency revealed an average decrease of 18.5% in fuel volume due to delayed maintenance. These results indicate that neglecting vehicle maintenance significantly worsens urban air pollution and economic inefficiency, underscoring the urgent need for policies mandating emission testing, stricter fuel quality regulations, and specialized training programs for mechanics in developing urban areas.  </w:t>
      </w:r>
    </w:p>
    <w:p w14:paraId="5B72BD65"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4"/>
          <w:szCs w:val="24"/>
        </w:rPr>
        <w:t>Keywords:</w:t>
      </w:r>
      <w:r w:rsidRPr="00323294">
        <w:rPr>
          <w:rFonts w:ascii="Times New Roman" w:hAnsi="Times New Roman"/>
          <w:sz w:val="24"/>
          <w:szCs w:val="24"/>
        </w:rPr>
        <w:t xml:space="preserve"> Vehicle Emissions, Maintenance Schedules, Combustion Efficiency, Urban Air Quality, Carbon Monoxide, Sulfur Dioxide, Environmental Impact, Nigeria.</w:t>
      </w:r>
    </w:p>
    <w:p w14:paraId="5BD8A335"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8"/>
          <w:szCs w:val="24"/>
        </w:rPr>
        <w:t>INTRODUCTION</w:t>
      </w:r>
    </w:p>
    <w:p w14:paraId="20FA0817"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The decline in urban air quality is one of the most pressing environmental, ecological, and public health challenges facing developing countries in the 21st century. As city populations grow and economic activities increase, the ownership and use of motor vehicles rise significantly. In rapidly developing urban areas like Calabar, Cross River State, Nigeria, this surge in transportation occurs alongside aging vehicle fleets, inadequate road infrastructure, weak regulatory enforcement, and inconsistent quality of petroleum products. The emissions from these vehicles pose a continuous threat to respiratory health, accelerate the deterioration of structures, and significantly contribute to regional greenhouse gas emissions.</w:t>
      </w:r>
    </w:p>
    <w:p w14:paraId="33151A0C" w14:textId="77777777" w:rsid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While the intensity of vehicle emissions is primarily influenced by engine design, fuel type, and operational loads, the actual efficiency of combustion is largely determined by maintenance practices. In developing regions, economic constraints often lead vehicle owners to adopt a reactive maintenance approach only </w:t>
      </w:r>
      <w:r>
        <w:rPr>
          <w:rFonts w:ascii="Times New Roman" w:hAnsi="Times New Roman"/>
          <w:sz w:val="24"/>
          <w:szCs w:val="24"/>
        </w:rPr>
        <w:t>adder-</w:t>
      </w:r>
    </w:p>
    <w:p w14:paraId="4B9500F8" w14:textId="77777777" w:rsidR="00323294" w:rsidRPr="00323294" w:rsidRDefault="00323294" w:rsidP="00323294">
      <w:pPr>
        <w:spacing w:after="240" w:line="240" w:lineRule="auto"/>
        <w:jc w:val="both"/>
        <w:rPr>
          <w:rFonts w:ascii="Times New Roman" w:hAnsi="Times New Roman"/>
          <w:sz w:val="24"/>
          <w:szCs w:val="24"/>
        </w:rPr>
      </w:pPr>
      <w:proofErr w:type="spellStart"/>
      <w:r w:rsidRPr="00323294">
        <w:rPr>
          <w:rFonts w:ascii="Times New Roman" w:hAnsi="Times New Roman"/>
          <w:sz w:val="24"/>
          <w:szCs w:val="24"/>
        </w:rPr>
        <w:lastRenderedPageBreak/>
        <w:t>ssing</w:t>
      </w:r>
      <w:proofErr w:type="spellEnd"/>
      <w:r w:rsidRPr="00323294">
        <w:rPr>
          <w:rFonts w:ascii="Times New Roman" w:hAnsi="Times New Roman"/>
          <w:sz w:val="24"/>
          <w:szCs w:val="24"/>
        </w:rPr>
        <w:t xml:space="preserve"> issues when they become critical rather than engaging in proactive, preventive maintenance. Issues such as worn spark plugs, clogged fuel injectors, blocked air filters, worn piston rings, and old engine oils disrupt the ideal air fuel mixture, leading to incomplete combustion. This mechanical wear significantly increases the release of harmful pollutants like carbon monoxide (CO), unburned hydrocarbons (UHC), and sulfur dioxide (SO2)</w:t>
      </w:r>
    </w:p>
    <w:p w14:paraId="2E53164B"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Despite international agreements and regional environmental regulations, local monitoring systems in sub-Saharan Africa are still underdeveloped. As a result, there is a lack of empirical data on how specific maintenance schedules impact pollutant levels. This research aims to fill this crucial gap by creating a comprehensive framework to gather primary emission data, analyze the operating characteristics of regional vehicle fleets, calculate statistical relationships between maintenance delays and exhaust toxicity, and develop practical strategies for urban transport management.</w:t>
      </w:r>
    </w:p>
    <w:p w14:paraId="448AF9D0"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The main goals of this multi-faceted study are:</w:t>
      </w:r>
    </w:p>
    <w:p w14:paraId="229E6DBE" w14:textId="77777777" w:rsidR="00323294" w:rsidRPr="00323294" w:rsidRDefault="00323294" w:rsidP="00323294">
      <w:pPr>
        <w:pStyle w:val="ListParagraph"/>
        <w:numPr>
          <w:ilvl w:val="0"/>
          <w:numId w:val="37"/>
        </w:numPr>
        <w:spacing w:after="240" w:line="240" w:lineRule="auto"/>
        <w:jc w:val="both"/>
        <w:rPr>
          <w:rFonts w:ascii="Times New Roman" w:hAnsi="Times New Roman"/>
          <w:sz w:val="24"/>
          <w:szCs w:val="24"/>
        </w:rPr>
      </w:pPr>
      <w:r w:rsidRPr="00323294">
        <w:rPr>
          <w:rFonts w:ascii="Times New Roman" w:hAnsi="Times New Roman"/>
          <w:sz w:val="24"/>
          <w:szCs w:val="24"/>
        </w:rPr>
        <w:t>to measure baseline tailpipe emissions of carbon and sulfur compounds from various vehicle types operating in Calabar;</w:t>
      </w:r>
    </w:p>
    <w:p w14:paraId="32E4C8F2" w14:textId="77777777" w:rsidR="00323294" w:rsidRPr="00323294" w:rsidRDefault="00323294" w:rsidP="00323294">
      <w:pPr>
        <w:pStyle w:val="ListParagraph"/>
        <w:numPr>
          <w:ilvl w:val="0"/>
          <w:numId w:val="37"/>
        </w:numPr>
        <w:spacing w:after="240" w:line="240" w:lineRule="auto"/>
        <w:jc w:val="both"/>
        <w:rPr>
          <w:rFonts w:ascii="Times New Roman" w:hAnsi="Times New Roman"/>
          <w:sz w:val="24"/>
          <w:szCs w:val="24"/>
        </w:rPr>
      </w:pPr>
      <w:r w:rsidRPr="00323294">
        <w:rPr>
          <w:rFonts w:ascii="Times New Roman" w:hAnsi="Times New Roman"/>
          <w:sz w:val="24"/>
          <w:szCs w:val="24"/>
        </w:rPr>
        <w:t xml:space="preserve">to create mathematical regression models that link maintenance delays to increased emissions; </w:t>
      </w:r>
    </w:p>
    <w:p w14:paraId="0DFDCB3A" w14:textId="77777777" w:rsidR="00323294" w:rsidRPr="00323294" w:rsidRDefault="00323294" w:rsidP="00323294">
      <w:pPr>
        <w:pStyle w:val="ListParagraph"/>
        <w:numPr>
          <w:ilvl w:val="0"/>
          <w:numId w:val="37"/>
        </w:numPr>
        <w:spacing w:after="240" w:line="240" w:lineRule="auto"/>
        <w:jc w:val="both"/>
        <w:rPr>
          <w:rFonts w:ascii="Times New Roman" w:hAnsi="Times New Roman"/>
          <w:sz w:val="24"/>
          <w:szCs w:val="24"/>
        </w:rPr>
      </w:pPr>
      <w:r w:rsidRPr="00323294">
        <w:rPr>
          <w:rFonts w:ascii="Times New Roman" w:hAnsi="Times New Roman"/>
          <w:sz w:val="24"/>
          <w:szCs w:val="24"/>
        </w:rPr>
        <w:t xml:space="preserve">to assess the economic and environmental impacts of postponed servicing; </w:t>
      </w:r>
    </w:p>
    <w:p w14:paraId="5C6A2558" w14:textId="77777777" w:rsidR="00323294" w:rsidRPr="00323294" w:rsidRDefault="00323294" w:rsidP="00323294">
      <w:pPr>
        <w:pStyle w:val="ListParagraph"/>
        <w:numPr>
          <w:ilvl w:val="0"/>
          <w:numId w:val="37"/>
        </w:numPr>
        <w:spacing w:after="240" w:line="240" w:lineRule="auto"/>
        <w:jc w:val="both"/>
        <w:rPr>
          <w:rFonts w:ascii="Times New Roman" w:hAnsi="Times New Roman"/>
          <w:sz w:val="24"/>
          <w:szCs w:val="24"/>
        </w:rPr>
      </w:pPr>
      <w:r w:rsidRPr="00323294">
        <w:rPr>
          <w:rFonts w:ascii="Times New Roman" w:hAnsi="Times New Roman"/>
          <w:sz w:val="24"/>
          <w:szCs w:val="24"/>
        </w:rPr>
        <w:t>to recommend effective administrative and technical policy measures for local authorities.</w:t>
      </w:r>
    </w:p>
    <w:p w14:paraId="6F27806D" w14:textId="77777777" w:rsidR="00323294" w:rsidRPr="00323294" w:rsidRDefault="00323294" w:rsidP="00323294">
      <w:pPr>
        <w:spacing w:after="240" w:line="240" w:lineRule="auto"/>
        <w:jc w:val="both"/>
        <w:rPr>
          <w:rFonts w:ascii="Times New Roman" w:hAnsi="Times New Roman"/>
          <w:b/>
          <w:sz w:val="28"/>
          <w:szCs w:val="24"/>
        </w:rPr>
      </w:pPr>
      <w:r w:rsidRPr="00323294">
        <w:rPr>
          <w:rFonts w:ascii="Times New Roman" w:hAnsi="Times New Roman"/>
          <w:b/>
          <w:sz w:val="28"/>
          <w:szCs w:val="24"/>
        </w:rPr>
        <w:t>HUMANIRS (LITERATURE REVIEW &amp; THEORETICAL FRAMEWORK</w:t>
      </w:r>
    </w:p>
    <w:p w14:paraId="5976BF2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The acronym HUMANIRS stands for Holistic Urban Meteorological, Anthropogenic, and Numerical Investigation of Respiratory Stressors. This section integrates key theories and previous research that explore the connections between mechanical engineering, combustion chemistry, and atmospheric science.</w:t>
      </w:r>
    </w:p>
    <w:p w14:paraId="3B90D247"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Stoichiometric Combustion and Engine Wear Mechanisms</w:t>
      </w:r>
    </w:p>
    <w:p w14:paraId="3DDFB8B9"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In an ideal internal combustion engine, hydrocarbon fuel reacts with oxygen in specific stoichiometric ratios (approximately 14.7:1 by weight for gasoline) to produce carbon dioxide (CO2) and water vapor (H2O). However, actual automotive engines function under varying thermal and mechanical conditions. Over time, mechanical wear leads to changes in cylinder compression, valve timing, and fuel atomization. Without regular maintenance such as changing spark plugs, decarbonizing, and replacing filters combustion chambers can develop localized cooling zones and incomplete fuel oxidation. These issues can result in increased production of carbon monoxide and complex polycyclic aromatic hydrocarbons.</w:t>
      </w:r>
    </w:p>
    <w:p w14:paraId="4ABE5D42"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The Impact of Sulfur Compounds in Automotive Fuels</w:t>
      </w:r>
    </w:p>
    <w:p w14:paraId="040C94D5"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Sulfur impurities found in petroleum-based diesel and gasoline significantly contribute to tailpipe emissions toxicity. During combustion, organosulfur compounds are converted into gaseous sulfur dioxide (SO2) and sulfur trioxide (SO3), which can react with moisture in the atmosphere to create secondary sulfate aerosols and precursors to acid deposition. In many developing countries, imported petroleum products have historically contained higher levels of sulfur (measured in parts per million) compared to the strict Euro-IV or Euro-VI standards, exacerbating the environmental effects of poorly maintained fuel delivery systems.</w:t>
      </w:r>
    </w:p>
    <w:p w14:paraId="71B65969"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Vehicle Age, Mileage, and Emission Factors</w:t>
      </w:r>
    </w:p>
    <w:p w14:paraId="7B910D8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The age of a vehicle and its total mileage are key indicators of powertrain deterioration. As piston rings wear down and cylinder walls undergo micro abrasion, gases from the crankcase can contaminate the lubricating oil, diminishing its viscosity and protective capabilities. Research has consistently shown that an unmaintained vehicle with over 100,000 kilometers emits significantly higher levels of particulate and gaseous pollutants compared to a well-maintained vehicle of the same age, highlighting the importance of maintenance compliance as a crucial regulatory factor.</w:t>
      </w:r>
    </w:p>
    <w:p w14:paraId="06C0BB9A"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lastRenderedPageBreak/>
        <w:t>establishing maintenance compliance as an essential regulatory factor</w:t>
      </w:r>
    </w:p>
    <w:p w14:paraId="2AE9C868"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Urban Air Quality Dynamics in Calabar Metropolis</w:t>
      </w:r>
    </w:p>
    <w:p w14:paraId="65B9FFD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Calabar, with its distinctive coastal weather, high humidity, and seasonal rainfall, exhibits unique atmospheric dispersion patterns. During early morning temperature inversions, vehicle emissions become trapped in the urban canopy layer, increasing human exposure to harmful exhaust pollutants along major roads such as Murtala Mohammed Highway, Marian Road, and the areas around Watt Market.</w:t>
      </w:r>
    </w:p>
    <w:p w14:paraId="2B99C96E" w14:textId="77777777" w:rsidR="00323294" w:rsidRPr="00323294" w:rsidRDefault="00323294" w:rsidP="00323294">
      <w:pPr>
        <w:spacing w:after="240" w:line="240" w:lineRule="auto"/>
        <w:jc w:val="both"/>
        <w:rPr>
          <w:rFonts w:ascii="Times New Roman" w:hAnsi="Times New Roman"/>
          <w:b/>
          <w:sz w:val="28"/>
          <w:szCs w:val="24"/>
        </w:rPr>
      </w:pPr>
      <w:r w:rsidRPr="00323294">
        <w:rPr>
          <w:rFonts w:ascii="Times New Roman" w:hAnsi="Times New Roman"/>
          <w:b/>
          <w:sz w:val="28"/>
          <w:szCs w:val="24"/>
        </w:rPr>
        <w:t>MATERIALS AND METHODS</w:t>
      </w:r>
    </w:p>
    <w:p w14:paraId="45D15C60"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This section details the thorough experimental design, sampling methods, laboratory titration processes, and statistical modeling techniques used in the study.</w:t>
      </w:r>
    </w:p>
    <w:p w14:paraId="0BD1996F"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Study Area and Stratified Sampling Strategy</w:t>
      </w:r>
    </w:p>
    <w:p w14:paraId="02F7E08A"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The empirical study was conducted within the urban limits of Calabar, Cross River State, Nigeria. Key traffic intersections, commercial motor parks, and industrial areas were chosen as monitoring sites to capture representative urban driving behaviors, including idling, acceleration, and deceleration. A comprehensive survey targeted 200 operational vehicles, resulting in 164 valid and fully documented sample sets that were successfully collected and analyzed. The surveyed vehicles were classified into four operational categories:</w:t>
      </w:r>
    </w:p>
    <w:p w14:paraId="7A6DBDD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 Class A: Commercial Heavy-Duty Trucks (Haulage and Tipper units operating on diesel)</w:t>
      </w:r>
    </w:p>
    <w:p w14:paraId="5F1995D0"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 Class B: Mass Transit Commuter Buses (Interstate and municipal passenger buses)</w:t>
      </w:r>
    </w:p>
    <w:p w14:paraId="739524E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 Class C: Private Saloon Passenger Cars (Gasoline-powered sedans and hatchbacks)</w:t>
      </w:r>
    </w:p>
    <w:p w14:paraId="3BB591AD"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Class D: Light Utility and Mixed Commercial Vans (Delivery and utility vehicles)</w:t>
      </w:r>
    </w:p>
    <w:p w14:paraId="3FA27915"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Exhaust Gas Collection and Laboratory Titration Procedures</w:t>
      </w:r>
    </w:p>
    <w:p w14:paraId="570BEF4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Exhaust gas samples were collected directly from vehicle tailpipes using specialized 500 ml Pyrex glass containers while the engine operated under standardized conditions (idling at 800–900 RPM). The samples were then transported under cold-chain conditions to the Oceanography Department Laboratory at the University of Calabar for chemical analysis:</w:t>
      </w:r>
    </w:p>
    <w:p w14:paraId="7FE81A2F"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1. Carbon Analysis: The dissolved carbon dioxide and carbon components from the exhaust condensates were titrated using standard sodium hydroxide (NaOH) and sodium carbonate (Na2CO3) solutions with phenolphthalein indicators at a controlled laboratory temperature of 26°C to measure concentrations in milligrams per liter (mg/L).   </w:t>
      </w:r>
    </w:p>
    <w:p w14:paraId="06418CA4"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2. Sulfur Analysis:  Exhaust samples treated with hydroxylamine hydrochloride and benzidine hydrochloride reagents were titrated against standardized 0.05M NaOH solutions to determine sulfur dioxide concentrations, which were then converted to parts per million (PPM) equivalents.</w:t>
      </w:r>
    </w:p>
    <w:p w14:paraId="1BBD23F5" w14:textId="77777777" w:rsidR="00323294" w:rsidRPr="00323294" w:rsidRDefault="00323294" w:rsidP="00323294">
      <w:pPr>
        <w:spacing w:after="240" w:line="240" w:lineRule="auto"/>
        <w:jc w:val="both"/>
        <w:rPr>
          <w:rFonts w:ascii="Times New Roman" w:hAnsi="Times New Roman"/>
          <w:b/>
          <w:sz w:val="24"/>
          <w:szCs w:val="24"/>
        </w:rPr>
      </w:pPr>
      <w:r w:rsidRPr="00323294">
        <w:rPr>
          <w:rFonts w:ascii="Times New Roman" w:hAnsi="Times New Roman"/>
          <w:b/>
          <w:sz w:val="24"/>
          <w:szCs w:val="24"/>
        </w:rPr>
        <w:t>Mathematical and Computational Modeling</w:t>
      </w:r>
    </w:p>
    <w:p w14:paraId="42192035"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To assess the quantitative relationship between maintenance delays and emission levels, statistical regression models were developed. The main multivariable regression equation established is represented as follows:</w:t>
      </w:r>
    </w:p>
    <w:p w14:paraId="58F55F8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Y = β0 + β1X1 + β2X2 + β3X3 + ε</w:t>
      </w:r>
    </w:p>
    <w:p w14:paraId="585F9D4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In this equation, Y denotes the overall exhaust pollutant concentration index, X1 indicates the time since the last maintenance (measured in months, X2 represents total vehicle mileage (in increments of 10,000 km, X3 </w:t>
      </w:r>
      <w:r w:rsidRPr="00323294">
        <w:rPr>
          <w:rFonts w:ascii="Times New Roman" w:hAnsi="Times New Roman"/>
          <w:sz w:val="24"/>
          <w:szCs w:val="24"/>
        </w:rPr>
        <w:lastRenderedPageBreak/>
        <w:t>signifies the age of the vehicle (in years), β0 is the baseline emission intercept, and ε accounts for random error terms</w:t>
      </w:r>
    </w:p>
    <w:p w14:paraId="6722A78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8"/>
          <w:szCs w:val="24"/>
        </w:rPr>
        <w:t>RESULTS</w:t>
      </w:r>
    </w:p>
    <w:p w14:paraId="3782D3D8"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Laboratory quantification and survey analyses revealed distinct variations in pollutant concentrations across vehicle categories, closely tracking adherence to recommended maintenance schedules.</w:t>
      </w:r>
    </w:p>
    <w:tbl>
      <w:tblPr>
        <w:tblW w:w="79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960"/>
        <w:gridCol w:w="1818"/>
        <w:gridCol w:w="960"/>
        <w:gridCol w:w="960"/>
      </w:tblGrid>
      <w:tr w:rsidR="00323294" w:rsidRPr="00323294" w14:paraId="075E9DED" w14:textId="77777777" w:rsidTr="00323294">
        <w:trPr>
          <w:trHeight w:val="315"/>
        </w:trPr>
        <w:tc>
          <w:tcPr>
            <w:tcW w:w="3255" w:type="dxa"/>
            <w:noWrap/>
            <w:hideMark/>
          </w:tcPr>
          <w:p w14:paraId="3105D678"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Commercial Heavy Trucks</w:t>
            </w:r>
          </w:p>
        </w:tc>
        <w:tc>
          <w:tcPr>
            <w:tcW w:w="960" w:type="dxa"/>
            <w:noWrap/>
            <w:hideMark/>
          </w:tcPr>
          <w:p w14:paraId="48017AA2"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32</w:t>
            </w:r>
          </w:p>
        </w:tc>
        <w:tc>
          <w:tcPr>
            <w:tcW w:w="1818" w:type="dxa"/>
            <w:noWrap/>
            <w:hideMark/>
          </w:tcPr>
          <w:p w14:paraId="7BCA65CD"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8.4 months</w:t>
            </w:r>
          </w:p>
        </w:tc>
        <w:tc>
          <w:tcPr>
            <w:tcW w:w="960" w:type="dxa"/>
            <w:noWrap/>
            <w:hideMark/>
          </w:tcPr>
          <w:p w14:paraId="1EB05838"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138.5</w:t>
            </w:r>
          </w:p>
        </w:tc>
        <w:tc>
          <w:tcPr>
            <w:tcW w:w="960" w:type="dxa"/>
            <w:noWrap/>
            <w:hideMark/>
          </w:tcPr>
          <w:p w14:paraId="6E3521CD"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45.2</w:t>
            </w:r>
          </w:p>
        </w:tc>
      </w:tr>
      <w:tr w:rsidR="00323294" w:rsidRPr="00323294" w14:paraId="2CF154E2" w14:textId="77777777" w:rsidTr="00323294">
        <w:trPr>
          <w:trHeight w:val="315"/>
        </w:trPr>
        <w:tc>
          <w:tcPr>
            <w:tcW w:w="3255" w:type="dxa"/>
            <w:noWrap/>
            <w:hideMark/>
          </w:tcPr>
          <w:p w14:paraId="53DD48AA"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Mass Transit Buses</w:t>
            </w:r>
          </w:p>
        </w:tc>
        <w:tc>
          <w:tcPr>
            <w:tcW w:w="960" w:type="dxa"/>
            <w:noWrap/>
            <w:hideMark/>
          </w:tcPr>
          <w:p w14:paraId="6B398B1B"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48</w:t>
            </w:r>
          </w:p>
        </w:tc>
        <w:tc>
          <w:tcPr>
            <w:tcW w:w="1818" w:type="dxa"/>
            <w:noWrap/>
            <w:hideMark/>
          </w:tcPr>
          <w:p w14:paraId="199A737C"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6.2 months</w:t>
            </w:r>
          </w:p>
        </w:tc>
        <w:tc>
          <w:tcPr>
            <w:tcW w:w="960" w:type="dxa"/>
            <w:noWrap/>
            <w:hideMark/>
          </w:tcPr>
          <w:p w14:paraId="554D2C72"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112</w:t>
            </w:r>
          </w:p>
        </w:tc>
        <w:tc>
          <w:tcPr>
            <w:tcW w:w="960" w:type="dxa"/>
            <w:noWrap/>
            <w:hideMark/>
          </w:tcPr>
          <w:p w14:paraId="0CAEE76F"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32.4</w:t>
            </w:r>
          </w:p>
        </w:tc>
      </w:tr>
      <w:tr w:rsidR="00323294" w:rsidRPr="00323294" w14:paraId="744315A8" w14:textId="77777777" w:rsidTr="00323294">
        <w:trPr>
          <w:trHeight w:val="315"/>
        </w:trPr>
        <w:tc>
          <w:tcPr>
            <w:tcW w:w="3255" w:type="dxa"/>
            <w:noWrap/>
            <w:hideMark/>
          </w:tcPr>
          <w:p w14:paraId="4152277C"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Private Saloon Cars</w:t>
            </w:r>
          </w:p>
        </w:tc>
        <w:tc>
          <w:tcPr>
            <w:tcW w:w="960" w:type="dxa"/>
            <w:noWrap/>
            <w:hideMark/>
          </w:tcPr>
          <w:p w14:paraId="07C1A188"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64</w:t>
            </w:r>
          </w:p>
        </w:tc>
        <w:tc>
          <w:tcPr>
            <w:tcW w:w="1818" w:type="dxa"/>
            <w:noWrap/>
            <w:hideMark/>
          </w:tcPr>
          <w:p w14:paraId="2A5E9DF2"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4.1 months</w:t>
            </w:r>
          </w:p>
        </w:tc>
        <w:tc>
          <w:tcPr>
            <w:tcW w:w="960" w:type="dxa"/>
            <w:noWrap/>
            <w:hideMark/>
          </w:tcPr>
          <w:p w14:paraId="0ADE27F5"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84.5</w:t>
            </w:r>
          </w:p>
        </w:tc>
        <w:tc>
          <w:tcPr>
            <w:tcW w:w="960" w:type="dxa"/>
            <w:noWrap/>
            <w:hideMark/>
          </w:tcPr>
          <w:p w14:paraId="07AF89B8"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18.1</w:t>
            </w:r>
          </w:p>
        </w:tc>
      </w:tr>
      <w:tr w:rsidR="00323294" w:rsidRPr="00323294" w14:paraId="125E3871" w14:textId="77777777" w:rsidTr="00323294">
        <w:trPr>
          <w:trHeight w:val="315"/>
        </w:trPr>
        <w:tc>
          <w:tcPr>
            <w:tcW w:w="3255" w:type="dxa"/>
            <w:noWrap/>
            <w:hideMark/>
          </w:tcPr>
          <w:p w14:paraId="4CA2C89D"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Light Utility / Vans</w:t>
            </w:r>
          </w:p>
        </w:tc>
        <w:tc>
          <w:tcPr>
            <w:tcW w:w="960" w:type="dxa"/>
            <w:noWrap/>
            <w:hideMark/>
          </w:tcPr>
          <w:p w14:paraId="1BF70F2C"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20</w:t>
            </w:r>
          </w:p>
        </w:tc>
        <w:tc>
          <w:tcPr>
            <w:tcW w:w="1818" w:type="dxa"/>
            <w:noWrap/>
            <w:hideMark/>
          </w:tcPr>
          <w:p w14:paraId="700DC02E"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5.5 months</w:t>
            </w:r>
          </w:p>
        </w:tc>
        <w:tc>
          <w:tcPr>
            <w:tcW w:w="960" w:type="dxa"/>
            <w:noWrap/>
            <w:hideMark/>
          </w:tcPr>
          <w:p w14:paraId="5A92A390"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96.2</w:t>
            </w:r>
          </w:p>
        </w:tc>
        <w:tc>
          <w:tcPr>
            <w:tcW w:w="960" w:type="dxa"/>
            <w:noWrap/>
            <w:hideMark/>
          </w:tcPr>
          <w:p w14:paraId="4699B915"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24.6</w:t>
            </w:r>
          </w:p>
        </w:tc>
      </w:tr>
      <w:tr w:rsidR="00323294" w:rsidRPr="00323294" w14:paraId="5F4B7039" w14:textId="77777777" w:rsidTr="00323294">
        <w:trPr>
          <w:trHeight w:val="315"/>
        </w:trPr>
        <w:tc>
          <w:tcPr>
            <w:tcW w:w="3255" w:type="dxa"/>
            <w:noWrap/>
            <w:hideMark/>
          </w:tcPr>
          <w:p w14:paraId="43A80A69"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Composite Average / Total</w:t>
            </w:r>
          </w:p>
        </w:tc>
        <w:tc>
          <w:tcPr>
            <w:tcW w:w="960" w:type="dxa"/>
            <w:noWrap/>
            <w:hideMark/>
          </w:tcPr>
          <w:p w14:paraId="20A4434D"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164</w:t>
            </w:r>
          </w:p>
        </w:tc>
        <w:tc>
          <w:tcPr>
            <w:tcW w:w="1818" w:type="dxa"/>
            <w:noWrap/>
            <w:hideMark/>
          </w:tcPr>
          <w:p w14:paraId="58B69CB0"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6.05 months</w:t>
            </w:r>
          </w:p>
        </w:tc>
        <w:tc>
          <w:tcPr>
            <w:tcW w:w="960" w:type="dxa"/>
            <w:noWrap/>
            <w:hideMark/>
          </w:tcPr>
          <w:p w14:paraId="70A60338"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107.8</w:t>
            </w:r>
          </w:p>
        </w:tc>
        <w:tc>
          <w:tcPr>
            <w:tcW w:w="960" w:type="dxa"/>
            <w:noWrap/>
            <w:hideMark/>
          </w:tcPr>
          <w:p w14:paraId="2BD68224"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30.1</w:t>
            </w:r>
          </w:p>
        </w:tc>
      </w:tr>
    </w:tbl>
    <w:p w14:paraId="6C1D300B" w14:textId="77777777" w:rsidR="00323294" w:rsidRDefault="00323294" w:rsidP="00323294">
      <w:pPr>
        <w:spacing w:before="240" w:after="240" w:line="240" w:lineRule="auto"/>
        <w:jc w:val="both"/>
        <w:rPr>
          <w:rFonts w:ascii="Times New Roman" w:hAnsi="Times New Roman"/>
          <w:sz w:val="24"/>
          <w:szCs w:val="24"/>
        </w:rPr>
      </w:pPr>
      <w:r w:rsidRPr="00323294">
        <w:rPr>
          <w:rFonts w:ascii="Times New Roman" w:hAnsi="Times New Roman"/>
          <w:noProof/>
          <w:sz w:val="24"/>
          <w:szCs w:val="24"/>
        </w:rPr>
        <w:drawing>
          <wp:inline distT="0" distB="0" distL="0" distR="0" wp14:anchorId="77A12E53" wp14:editId="7D7B2C0C">
            <wp:extent cx="5029200" cy="3581400"/>
            <wp:effectExtent l="1905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5029200" cy="3581400"/>
                    </a:xfrm>
                    <a:prstGeom prst="rect">
                      <a:avLst/>
                    </a:prstGeom>
                  </pic:spPr>
                </pic:pic>
              </a:graphicData>
            </a:graphic>
          </wp:inline>
        </w:drawing>
      </w:r>
    </w:p>
    <w:p w14:paraId="36C90112" w14:textId="77777777" w:rsidR="00323294" w:rsidRPr="00323294" w:rsidRDefault="00323294" w:rsidP="00323294">
      <w:pPr>
        <w:spacing w:before="240" w:after="240" w:line="240" w:lineRule="auto"/>
        <w:jc w:val="both"/>
        <w:rPr>
          <w:rFonts w:ascii="Times New Roman" w:hAnsi="Times New Roman"/>
          <w:sz w:val="24"/>
          <w:szCs w:val="24"/>
        </w:rPr>
      </w:pPr>
      <w:r w:rsidRPr="00323294">
        <w:rPr>
          <w:rFonts w:ascii="Times New Roman" w:hAnsi="Times New Roman"/>
          <w:sz w:val="24"/>
          <w:szCs w:val="24"/>
        </w:rPr>
        <w:t>Figure 1: Comparative Carbon and Sulfur Emissions Across Vehicle Operational Categories</w:t>
      </w:r>
    </w:p>
    <w:p w14:paraId="583AD8B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Statistical evaluation of the dataset yielded a Pearson correlation coefficient of r = +0.84 between service delay duration and tailpipe carbon concentration. Analysis of variance (ANOVA) confirmed statistical significance at p &lt; 0.01.</w:t>
      </w:r>
    </w:p>
    <w:tbl>
      <w:tblPr>
        <w:tblW w:w="70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5"/>
        <w:gridCol w:w="960"/>
        <w:gridCol w:w="960"/>
        <w:gridCol w:w="960"/>
      </w:tblGrid>
      <w:tr w:rsidR="00323294" w:rsidRPr="00323294" w14:paraId="478EFA51" w14:textId="77777777" w:rsidTr="00323294">
        <w:trPr>
          <w:trHeight w:val="315"/>
        </w:trPr>
        <w:tc>
          <w:tcPr>
            <w:tcW w:w="4155" w:type="dxa"/>
            <w:noWrap/>
            <w:hideMark/>
          </w:tcPr>
          <w:p w14:paraId="6499DC9E"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 xml:space="preserve">Strictly Proactive (Serviced &lt; 3 </w:t>
            </w:r>
            <w:proofErr w:type="spellStart"/>
            <w:r w:rsidRPr="00323294">
              <w:rPr>
                <w:rFonts w:ascii="Times New Roman" w:eastAsia="Times New Roman" w:hAnsi="Times New Roman"/>
                <w:color w:val="000000"/>
                <w:sz w:val="24"/>
                <w:szCs w:val="24"/>
              </w:rPr>
              <w:t>mos</w:t>
            </w:r>
            <w:proofErr w:type="spellEnd"/>
            <w:r w:rsidRPr="00323294">
              <w:rPr>
                <w:rFonts w:ascii="Times New Roman" w:eastAsia="Times New Roman" w:hAnsi="Times New Roman"/>
                <w:color w:val="000000"/>
                <w:sz w:val="24"/>
                <w:szCs w:val="24"/>
              </w:rPr>
              <w:t>)</w:t>
            </w:r>
          </w:p>
        </w:tc>
        <w:tc>
          <w:tcPr>
            <w:tcW w:w="960" w:type="dxa"/>
            <w:noWrap/>
            <w:hideMark/>
          </w:tcPr>
          <w:p w14:paraId="7DB1934E"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28.60%</w:t>
            </w:r>
          </w:p>
        </w:tc>
        <w:tc>
          <w:tcPr>
            <w:tcW w:w="960" w:type="dxa"/>
            <w:noWrap/>
            <w:hideMark/>
          </w:tcPr>
          <w:p w14:paraId="206D057C"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72.4</w:t>
            </w:r>
          </w:p>
        </w:tc>
        <w:tc>
          <w:tcPr>
            <w:tcW w:w="960" w:type="dxa"/>
            <w:noWrap/>
            <w:hideMark/>
          </w:tcPr>
          <w:p w14:paraId="11781A20"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14.2</w:t>
            </w:r>
          </w:p>
        </w:tc>
      </w:tr>
      <w:tr w:rsidR="00323294" w:rsidRPr="00323294" w14:paraId="58914783" w14:textId="77777777" w:rsidTr="00323294">
        <w:trPr>
          <w:trHeight w:val="315"/>
        </w:trPr>
        <w:tc>
          <w:tcPr>
            <w:tcW w:w="4155" w:type="dxa"/>
            <w:noWrap/>
            <w:hideMark/>
          </w:tcPr>
          <w:p w14:paraId="5325D436"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 xml:space="preserve">Moderate / Periodic (3 to 6 </w:t>
            </w:r>
            <w:proofErr w:type="spellStart"/>
            <w:r w:rsidRPr="00323294">
              <w:rPr>
                <w:rFonts w:ascii="Times New Roman" w:eastAsia="Times New Roman" w:hAnsi="Times New Roman"/>
                <w:color w:val="000000"/>
                <w:sz w:val="24"/>
                <w:szCs w:val="24"/>
              </w:rPr>
              <w:t>mos</w:t>
            </w:r>
            <w:proofErr w:type="spellEnd"/>
            <w:r w:rsidRPr="00323294">
              <w:rPr>
                <w:rFonts w:ascii="Times New Roman" w:eastAsia="Times New Roman" w:hAnsi="Times New Roman"/>
                <w:color w:val="000000"/>
                <w:sz w:val="24"/>
                <w:szCs w:val="24"/>
              </w:rPr>
              <w:t>)</w:t>
            </w:r>
          </w:p>
        </w:tc>
        <w:tc>
          <w:tcPr>
            <w:tcW w:w="960" w:type="dxa"/>
            <w:noWrap/>
            <w:hideMark/>
          </w:tcPr>
          <w:p w14:paraId="6D4AECD6"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43.30%</w:t>
            </w:r>
          </w:p>
        </w:tc>
        <w:tc>
          <w:tcPr>
            <w:tcW w:w="960" w:type="dxa"/>
            <w:noWrap/>
            <w:hideMark/>
          </w:tcPr>
          <w:p w14:paraId="6E6CCA0C"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108.6</w:t>
            </w:r>
          </w:p>
        </w:tc>
        <w:tc>
          <w:tcPr>
            <w:tcW w:w="960" w:type="dxa"/>
            <w:noWrap/>
            <w:hideMark/>
          </w:tcPr>
          <w:p w14:paraId="5E901562"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29.8</w:t>
            </w:r>
          </w:p>
        </w:tc>
      </w:tr>
      <w:tr w:rsidR="00323294" w:rsidRPr="00323294" w14:paraId="3BB6A351" w14:textId="77777777" w:rsidTr="00323294">
        <w:trPr>
          <w:trHeight w:val="315"/>
        </w:trPr>
        <w:tc>
          <w:tcPr>
            <w:tcW w:w="4155" w:type="dxa"/>
            <w:noWrap/>
            <w:hideMark/>
          </w:tcPr>
          <w:p w14:paraId="5871508B"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 xml:space="preserve">Reactive / Neglected (&gt; 6 </w:t>
            </w:r>
            <w:proofErr w:type="spellStart"/>
            <w:r w:rsidRPr="00323294">
              <w:rPr>
                <w:rFonts w:ascii="Times New Roman" w:eastAsia="Times New Roman" w:hAnsi="Times New Roman"/>
                <w:color w:val="000000"/>
                <w:sz w:val="24"/>
                <w:szCs w:val="24"/>
              </w:rPr>
              <w:t>mos</w:t>
            </w:r>
            <w:proofErr w:type="spellEnd"/>
            <w:r w:rsidRPr="00323294">
              <w:rPr>
                <w:rFonts w:ascii="Times New Roman" w:eastAsia="Times New Roman" w:hAnsi="Times New Roman"/>
                <w:color w:val="000000"/>
                <w:sz w:val="24"/>
                <w:szCs w:val="24"/>
              </w:rPr>
              <w:t>)</w:t>
            </w:r>
          </w:p>
        </w:tc>
        <w:tc>
          <w:tcPr>
            <w:tcW w:w="960" w:type="dxa"/>
            <w:noWrap/>
            <w:hideMark/>
          </w:tcPr>
          <w:p w14:paraId="0E2BCA2D"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28.10%</w:t>
            </w:r>
          </w:p>
        </w:tc>
        <w:tc>
          <w:tcPr>
            <w:tcW w:w="960" w:type="dxa"/>
            <w:noWrap/>
            <w:hideMark/>
          </w:tcPr>
          <w:p w14:paraId="40F7E67B"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159.2</w:t>
            </w:r>
          </w:p>
        </w:tc>
        <w:tc>
          <w:tcPr>
            <w:tcW w:w="960" w:type="dxa"/>
            <w:noWrap/>
            <w:hideMark/>
          </w:tcPr>
          <w:p w14:paraId="0151D720" w14:textId="77777777" w:rsidR="00323294" w:rsidRPr="00323294" w:rsidRDefault="00323294" w:rsidP="00323294">
            <w:pPr>
              <w:spacing w:after="240" w:line="240" w:lineRule="auto"/>
              <w:rPr>
                <w:rFonts w:ascii="Times New Roman" w:eastAsia="Times New Roman" w:hAnsi="Times New Roman"/>
                <w:color w:val="000000"/>
                <w:sz w:val="24"/>
                <w:szCs w:val="24"/>
              </w:rPr>
            </w:pPr>
            <w:r w:rsidRPr="00323294">
              <w:rPr>
                <w:rFonts w:ascii="Times New Roman" w:eastAsia="Times New Roman" w:hAnsi="Times New Roman"/>
                <w:color w:val="000000"/>
                <w:sz w:val="24"/>
                <w:szCs w:val="24"/>
              </w:rPr>
              <w:t>48.7</w:t>
            </w:r>
          </w:p>
        </w:tc>
      </w:tr>
    </w:tbl>
    <w:p w14:paraId="68A4393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noProof/>
          <w:sz w:val="24"/>
          <w:szCs w:val="24"/>
        </w:rPr>
        <w:lastRenderedPageBreak/>
        <w:drawing>
          <wp:inline distT="0" distB="0" distL="0" distR="0" wp14:anchorId="7955B8F9" wp14:editId="68A628F5">
            <wp:extent cx="5029200" cy="2682240"/>
            <wp:effectExtent l="0" t="0" r="0" b="0"/>
            <wp:docPr id="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9" cstate="print"/>
                    <a:srcRect/>
                    <a:stretch/>
                  </pic:blipFill>
                  <pic:spPr>
                    <a:xfrm>
                      <a:off x="0" y="0"/>
                      <a:ext cx="5029200" cy="2682240"/>
                    </a:xfrm>
                    <a:prstGeom prst="rect">
                      <a:avLst/>
                    </a:prstGeom>
                  </pic:spPr>
                </pic:pic>
              </a:graphicData>
            </a:graphic>
          </wp:inline>
        </w:drawing>
      </w:r>
    </w:p>
    <w:p w14:paraId="7F33A94D"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Figure 2: Regression Trend Showing Direct Escalation of Carbon Emissions with Service Latency</w:t>
      </w:r>
    </w:p>
    <w:p w14:paraId="7BF2E342"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noProof/>
          <w:sz w:val="24"/>
          <w:szCs w:val="24"/>
        </w:rPr>
        <w:drawing>
          <wp:inline distT="0" distB="0" distL="0" distR="0" wp14:anchorId="497E2CA0" wp14:editId="0882C601">
            <wp:extent cx="4572000" cy="2660073"/>
            <wp:effectExtent l="0" t="0" r="0" b="0"/>
            <wp:docPr id="1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9" cstate="print"/>
                    <a:srcRect/>
                    <a:stretch/>
                  </pic:blipFill>
                  <pic:spPr>
                    <a:xfrm>
                      <a:off x="0" y="0"/>
                      <a:ext cx="4572000" cy="2660073"/>
                    </a:xfrm>
                    <a:prstGeom prst="rect">
                      <a:avLst/>
                    </a:prstGeom>
                  </pic:spPr>
                </pic:pic>
              </a:graphicData>
            </a:graphic>
          </wp:inline>
        </w:drawing>
      </w:r>
    </w:p>
    <w:p w14:paraId="30055795"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Figure 3: Proportion of Fleet Adhering to Proactive Versus Reactive Maintenance Schedules</w:t>
      </w:r>
    </w:p>
    <w:p w14:paraId="57FDCBAA"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noProof/>
          <w:sz w:val="24"/>
          <w:szCs w:val="24"/>
        </w:rPr>
        <w:drawing>
          <wp:inline distT="0" distB="0" distL="0" distR="0" wp14:anchorId="1BF2B99B" wp14:editId="49C72D59">
            <wp:extent cx="5029200" cy="2682240"/>
            <wp:effectExtent l="0" t="0" r="0" b="0"/>
            <wp:docPr id="1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9" cstate="print"/>
                    <a:srcRect/>
                    <a:stretch/>
                  </pic:blipFill>
                  <pic:spPr>
                    <a:xfrm>
                      <a:off x="0" y="0"/>
                      <a:ext cx="5029200" cy="2682240"/>
                    </a:xfrm>
                    <a:prstGeom prst="rect">
                      <a:avLst/>
                    </a:prstGeom>
                  </pic:spPr>
                </pic:pic>
              </a:graphicData>
            </a:graphic>
          </wp:inline>
        </w:drawing>
      </w:r>
    </w:p>
    <w:p w14:paraId="3E7B1F1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 Figure 4: Escalation of Sulfur Emissions with Incremental Cumulative Vehicle Mileage</w:t>
      </w:r>
    </w:p>
    <w:p w14:paraId="146553A9"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noProof/>
          <w:sz w:val="24"/>
          <w:szCs w:val="24"/>
        </w:rPr>
        <w:lastRenderedPageBreak/>
        <w:drawing>
          <wp:inline distT="0" distB="0" distL="0" distR="0" wp14:anchorId="79239874" wp14:editId="659C9446">
            <wp:extent cx="5029200" cy="2682240"/>
            <wp:effectExtent l="0" t="0" r="0" b="0"/>
            <wp:docPr id="1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5"/>
                    <pic:cNvPicPr/>
                  </pic:nvPicPr>
                  <pic:blipFill>
                    <a:blip r:embed="rId9" cstate="print"/>
                    <a:srcRect/>
                    <a:stretch/>
                  </pic:blipFill>
                  <pic:spPr>
                    <a:xfrm>
                      <a:off x="0" y="0"/>
                      <a:ext cx="5029200" cy="2682240"/>
                    </a:xfrm>
                    <a:prstGeom prst="rect">
                      <a:avLst/>
                    </a:prstGeom>
                  </pic:spPr>
                </pic:pic>
              </a:graphicData>
            </a:graphic>
          </wp:inline>
        </w:drawing>
      </w:r>
    </w:p>
    <w:p w14:paraId="0E472FBF"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Figure 5: Variation of Carbon Monoxide Emissions Across Stoichiometric Air-Fuel Ratios</w:t>
      </w:r>
    </w:p>
    <w:p w14:paraId="5BFF7273"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noProof/>
          <w:sz w:val="24"/>
          <w:szCs w:val="24"/>
        </w:rPr>
        <w:drawing>
          <wp:inline distT="0" distB="0" distL="0" distR="0" wp14:anchorId="42F11E44" wp14:editId="3722F291">
            <wp:extent cx="5029200" cy="2682240"/>
            <wp:effectExtent l="0" t="0" r="0" b="0"/>
            <wp:docPr id="1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6"/>
                    <pic:cNvPicPr/>
                  </pic:nvPicPr>
                  <pic:blipFill>
                    <a:blip r:embed="rId9" cstate="print"/>
                    <a:srcRect/>
                    <a:stretch/>
                  </pic:blipFill>
                  <pic:spPr>
                    <a:xfrm>
                      <a:off x="0" y="0"/>
                      <a:ext cx="5029200" cy="2682240"/>
                    </a:xfrm>
                    <a:prstGeom prst="rect">
                      <a:avLst/>
                    </a:prstGeom>
                  </pic:spPr>
                </pic:pic>
              </a:graphicData>
            </a:graphic>
          </wp:inline>
        </w:drawing>
      </w:r>
      <w:r w:rsidRPr="00323294">
        <w:rPr>
          <w:rFonts w:ascii="Times New Roman" w:hAnsi="Times New Roman"/>
          <w:sz w:val="24"/>
          <w:szCs w:val="24"/>
        </w:rPr>
        <w:t xml:space="preserve"> </w:t>
      </w:r>
    </w:p>
    <w:p w14:paraId="71D68B3A"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Figure 6: Percentage Increase in Volumetric Fuel Consumption Associated with Extended Service Intervals</w:t>
      </w:r>
    </w:p>
    <w:p w14:paraId="4EA82E0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8"/>
          <w:szCs w:val="24"/>
        </w:rPr>
        <w:t>DISCUSSIONS</w:t>
      </w:r>
      <w:r w:rsidRPr="00323294">
        <w:rPr>
          <w:rFonts w:ascii="Times New Roman" w:hAnsi="Times New Roman"/>
          <w:sz w:val="24"/>
          <w:szCs w:val="24"/>
        </w:rPr>
        <w:t xml:space="preserve"> </w:t>
      </w:r>
    </w:p>
    <w:p w14:paraId="24FA830F"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The empirical results highlight a significant link between macroeconomic limitations, consumer maintenance habits, and the quality of urban environments. In developing cities like Calabar, vehicle owners often postpone regular maintenance due to the high costs of imported spare parts and fluctuating fuel prices. However, this short-term economic decision leads to considerable external costs that affect society as a whole.  </w:t>
      </w:r>
    </w:p>
    <w:p w14:paraId="398298F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 xml:space="preserve">Firstly, increased levels of carbon monoxide and particulate matter significantly contribute to respiratory health issues in the region, resulting in more hospital admissions for conditions like asthma, bronchitis, and heart problems. Secondly, unburned hydrocarbons and nitrogen oxides interact with sunlight to create tropospheric ozone, which harms local vegetation and agricultural productivity in nearby suburban areas. Thirdly, higher sulfur emissions accelerate the acidic deterioration of public infrastructure and buildings.  </w:t>
      </w:r>
    </w:p>
    <w:p w14:paraId="6233E0C6"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Moreover, regression analyses indicate that fuel efficiency declines sharply when maintenance intervals exceed six months. As a result, vehicle owners end up incurring a net financial loss due to higher fuel consumption, which far exceeds the minor savings from skipping oil changes and filter replacements. The stoichiometric analysis (Figure 5) and fuel penalty evaluation (Figure 6) provide strong quantitative support for these mechanical concepts.</w:t>
      </w:r>
    </w:p>
    <w:p w14:paraId="7B42F4FA" w14:textId="77777777" w:rsidR="00323294" w:rsidRPr="00323294" w:rsidRDefault="00323294" w:rsidP="00323294">
      <w:pPr>
        <w:spacing w:after="240" w:line="240" w:lineRule="auto"/>
        <w:jc w:val="both"/>
        <w:rPr>
          <w:rFonts w:ascii="Times New Roman" w:hAnsi="Times New Roman"/>
          <w:b/>
          <w:sz w:val="28"/>
          <w:szCs w:val="24"/>
        </w:rPr>
      </w:pPr>
      <w:r w:rsidRPr="00323294">
        <w:rPr>
          <w:rFonts w:ascii="Times New Roman" w:hAnsi="Times New Roman"/>
          <w:b/>
          <w:sz w:val="28"/>
          <w:szCs w:val="24"/>
        </w:rPr>
        <w:lastRenderedPageBreak/>
        <w:t>CONCLUSION AND RECOMMENDATIONS</w:t>
      </w:r>
    </w:p>
    <w:p w14:paraId="52BD0DF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This empirical research clearly shows that vehicle maintenance practices have a significant and measurable impact on urban exhaust emissions. Data from Calabar reveal a direct, statistically supported positive relationship between longer maintenance intervals and higher levels of harmful carbon and sulfur compounds. Vehicles that are not regularly serviced contribute disproportionately to pollution, negatively affecting both urban environmental quality and public health.</w:t>
      </w:r>
    </w:p>
    <w:p w14:paraId="39CE5D6E"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To address these issues, municipal and national policies should implement comprehensive measures:</w:t>
      </w:r>
    </w:p>
    <w:p w14:paraId="3CE3197B"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1. Mandatory Periodic Inspection Systems: Create state-run or accredited private vehicle inspection centers that require annual exhaust emission testing as a condition for vehicle licensing.</w:t>
      </w:r>
    </w:p>
    <w:p w14:paraId="6F555953"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2. Fuel Quality Standards: Implement stricter national limits on the sulfur content of imported fuels to enhance mechanical emissions reductions.</w:t>
      </w:r>
    </w:p>
    <w:p w14:paraId="3850B698"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3. Auto mechanical Capacity Building: Offer subsidized technical training for local mechanics focused on modern fuel injection diagnostics, ignition timing, and emission control maintenance.</w:t>
      </w:r>
    </w:p>
    <w:p w14:paraId="0B79BF5C"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sz w:val="24"/>
          <w:szCs w:val="24"/>
        </w:rPr>
        <w:t>4. Public Awareness Campaigns: Initiate targeted educational initiatives that emphasize the dual benefits of regular preventive maintenance: reducing environmental emissions and decreasing long-term fuel costs.</w:t>
      </w:r>
    </w:p>
    <w:p w14:paraId="58AEF39A" w14:textId="77777777" w:rsidR="00323294" w:rsidRPr="00323294" w:rsidRDefault="00323294" w:rsidP="00323294">
      <w:pPr>
        <w:spacing w:after="240" w:line="240" w:lineRule="auto"/>
        <w:jc w:val="both"/>
        <w:rPr>
          <w:rFonts w:ascii="Times New Roman" w:hAnsi="Times New Roman"/>
          <w:sz w:val="24"/>
          <w:szCs w:val="24"/>
        </w:rPr>
      </w:pPr>
      <w:r w:rsidRPr="00323294">
        <w:rPr>
          <w:rFonts w:ascii="Times New Roman" w:hAnsi="Times New Roman"/>
          <w:b/>
          <w:sz w:val="28"/>
          <w:szCs w:val="24"/>
        </w:rPr>
        <w:t>REFERENCES</w:t>
      </w:r>
    </w:p>
    <w:p w14:paraId="4AC44A37" w14:textId="77777777" w:rsidR="00323294" w:rsidRPr="00323294" w:rsidRDefault="00323294" w:rsidP="00E350B6">
      <w:pPr>
        <w:pStyle w:val="ListParagraph"/>
        <w:numPr>
          <w:ilvl w:val="0"/>
          <w:numId w:val="39"/>
        </w:numPr>
        <w:spacing w:after="0" w:line="240" w:lineRule="auto"/>
        <w:jc w:val="both"/>
        <w:rPr>
          <w:rFonts w:ascii="Times New Roman" w:hAnsi="Times New Roman"/>
          <w:sz w:val="24"/>
          <w:szCs w:val="24"/>
        </w:rPr>
      </w:pPr>
      <w:r w:rsidRPr="00323294">
        <w:rPr>
          <w:rFonts w:ascii="Times New Roman" w:hAnsi="Times New Roman"/>
          <w:sz w:val="24"/>
          <w:szCs w:val="24"/>
        </w:rPr>
        <w:t>Akwa, A. E. (2008). The Relationship Between Vehicular Maintenance and Exhaust Gas Emissions. Bachelor of Engineering (B.Eng.) Project Thesis, Department of Civil Engineering, Cross River University of Technology, Calabar.</w:t>
      </w:r>
    </w:p>
    <w:p w14:paraId="675FEFB4" w14:textId="77777777" w:rsidR="00323294" w:rsidRPr="00323294" w:rsidRDefault="00323294" w:rsidP="00E350B6">
      <w:pPr>
        <w:pStyle w:val="ListParagraph"/>
        <w:numPr>
          <w:ilvl w:val="0"/>
          <w:numId w:val="39"/>
        </w:numPr>
        <w:spacing w:after="0" w:line="240" w:lineRule="auto"/>
        <w:jc w:val="both"/>
        <w:rPr>
          <w:rFonts w:ascii="Times New Roman" w:hAnsi="Times New Roman"/>
          <w:sz w:val="24"/>
          <w:szCs w:val="24"/>
        </w:rPr>
      </w:pPr>
      <w:r w:rsidRPr="00323294">
        <w:rPr>
          <w:rFonts w:ascii="Times New Roman" w:hAnsi="Times New Roman"/>
          <w:sz w:val="24"/>
          <w:szCs w:val="24"/>
        </w:rPr>
        <w:t>Calvert, S., et al. (1993). Air Pollution and Motor Vehicles: Perspectives on Urban Air Quality and Control Technologies. Environmental Science &amp; Policy Journal, 14(3), 215-230.</w:t>
      </w:r>
    </w:p>
    <w:p w14:paraId="667BB06B" w14:textId="77777777" w:rsidR="00323294" w:rsidRPr="00323294" w:rsidRDefault="00323294" w:rsidP="00E350B6">
      <w:pPr>
        <w:pStyle w:val="ListParagraph"/>
        <w:numPr>
          <w:ilvl w:val="0"/>
          <w:numId w:val="39"/>
        </w:numPr>
        <w:spacing w:after="0" w:line="240" w:lineRule="auto"/>
        <w:jc w:val="both"/>
        <w:rPr>
          <w:rFonts w:ascii="Times New Roman" w:hAnsi="Times New Roman"/>
          <w:sz w:val="24"/>
          <w:szCs w:val="24"/>
        </w:rPr>
      </w:pPr>
      <w:r w:rsidRPr="00323294">
        <w:rPr>
          <w:rFonts w:ascii="Times New Roman" w:hAnsi="Times New Roman"/>
          <w:sz w:val="24"/>
          <w:szCs w:val="24"/>
        </w:rPr>
        <w:t>Intergovernmental Panel on Climate Change (IPCC). (1995). Climate Change 1995: Impacts, Adaptations and Mitigation of Climate Change - Scientific-Technical Analyses. Cambridge University Press.</w:t>
      </w:r>
    </w:p>
    <w:p w14:paraId="322BE585" w14:textId="77777777" w:rsidR="00323294" w:rsidRPr="00323294" w:rsidRDefault="00323294" w:rsidP="00E350B6">
      <w:pPr>
        <w:pStyle w:val="ListParagraph"/>
        <w:numPr>
          <w:ilvl w:val="0"/>
          <w:numId w:val="39"/>
        </w:numPr>
        <w:spacing w:after="0" w:line="240" w:lineRule="auto"/>
        <w:jc w:val="both"/>
        <w:rPr>
          <w:rFonts w:ascii="Times New Roman" w:hAnsi="Times New Roman"/>
          <w:sz w:val="24"/>
          <w:szCs w:val="24"/>
        </w:rPr>
      </w:pPr>
      <w:r w:rsidRPr="00323294">
        <w:rPr>
          <w:rFonts w:ascii="Times New Roman" w:hAnsi="Times New Roman"/>
          <w:sz w:val="24"/>
          <w:szCs w:val="24"/>
        </w:rPr>
        <w:t>United States Environmental Protection Agency (USEPA). (1994). Air Pollution and Health Effects from Mobile Sources: Technical Guidance Manual. USEPA Office of Mobile Sources.</w:t>
      </w:r>
    </w:p>
    <w:p w14:paraId="5910E154" w14:textId="77777777" w:rsidR="00624847" w:rsidRPr="00323294" w:rsidRDefault="00323294" w:rsidP="00E350B6">
      <w:pPr>
        <w:pStyle w:val="ListParagraph"/>
        <w:numPr>
          <w:ilvl w:val="0"/>
          <w:numId w:val="39"/>
        </w:numPr>
        <w:spacing w:after="0" w:line="240" w:lineRule="auto"/>
        <w:jc w:val="both"/>
        <w:rPr>
          <w:rFonts w:ascii="Times New Roman" w:hAnsi="Times New Roman"/>
          <w:sz w:val="24"/>
          <w:szCs w:val="24"/>
        </w:rPr>
      </w:pPr>
      <w:r w:rsidRPr="00323294">
        <w:rPr>
          <w:rFonts w:ascii="Times New Roman" w:hAnsi="Times New Roman"/>
          <w:sz w:val="24"/>
          <w:szCs w:val="24"/>
        </w:rPr>
        <w:t>World Resources Institute (WRI). (1992). World Resources 1992-1993: A Guide to the Global Environment - Toward Sustainable Development. Oxford University Press.</w:t>
      </w:r>
    </w:p>
    <w:sectPr w:rsidR="00624847" w:rsidRPr="00323294" w:rsidSect="00F53EA6">
      <w:headerReference w:type="default" r:id="rId10"/>
      <w:footerReference w:type="default" r:id="rId11"/>
      <w:pgSz w:w="11907" w:h="16840" w:code="9"/>
      <w:pgMar w:top="1094" w:right="607" w:bottom="607" w:left="607" w:header="346" w:footer="403" w:gutter="0"/>
      <w:pgNumType w:start="14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F488" w14:textId="77777777" w:rsidR="0000316A" w:rsidRDefault="0000316A" w:rsidP="00D15D21">
      <w:pPr>
        <w:spacing w:after="0" w:line="240" w:lineRule="auto"/>
      </w:pPr>
      <w:r>
        <w:separator/>
      </w:r>
    </w:p>
  </w:endnote>
  <w:endnote w:type="continuationSeparator" w:id="0">
    <w:p w14:paraId="0346EA59" w14:textId="77777777" w:rsidR="0000316A" w:rsidRDefault="0000316A" w:rsidP="00D15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utch801 Rm BT">
    <w:altName w:val="Cambria"/>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5CBE" w14:textId="77777777" w:rsidR="008C3C71" w:rsidRPr="007050CA" w:rsidRDefault="00000000" w:rsidP="00C666F3">
    <w:pPr>
      <w:tabs>
        <w:tab w:val="center" w:pos="4680"/>
        <w:tab w:val="left" w:pos="8980"/>
        <w:tab w:val="right" w:pos="9360"/>
        <w:tab w:val="right" w:pos="10696"/>
      </w:tabs>
      <w:spacing w:after="0"/>
    </w:pPr>
    <w:r>
      <w:rPr>
        <w:noProof/>
      </w:rPr>
      <w:pict w14:anchorId="61F04B2E">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14:paraId="6B49AA85" w14:textId="77777777" w:rsidR="008C3C71" w:rsidRPr="00C1330E" w:rsidRDefault="008C3C71"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14:paraId="041FAE46" w14:textId="77777777" w:rsidR="008C3C71" w:rsidRPr="00C1330E" w:rsidRDefault="008C3C71" w:rsidP="006B5EF2">
                <w:pPr>
                  <w:rPr>
                    <w:b/>
                    <w:color w:val="2F5496" w:themeColor="accent1" w:themeShade="BF"/>
                    <w:szCs w:val="20"/>
                  </w:rPr>
                </w:pPr>
              </w:p>
              <w:p w14:paraId="4E6D73F1" w14:textId="77777777" w:rsidR="008C3C71" w:rsidRPr="00C1330E" w:rsidRDefault="008C3C71" w:rsidP="006B5EF2">
                <w:pPr>
                  <w:rPr>
                    <w:b/>
                    <w:color w:val="2F5496" w:themeColor="accent1" w:themeShade="BF"/>
                  </w:rPr>
                </w:pPr>
              </w:p>
            </w:txbxContent>
          </v:textbox>
          <w10:wrap anchorx="page" anchory="page"/>
        </v:shape>
      </w:pict>
    </w:r>
    <w:r>
      <w:rPr>
        <w:noProof/>
      </w:rPr>
      <w:pict w14:anchorId="5A812111">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14:paraId="71A79A01" w14:textId="77777777" w:rsidR="008C3C71" w:rsidRPr="00C1330E" w:rsidRDefault="008C3C71"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5E0890"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5E0890" w:rsidRPr="00C1330E">
                  <w:rPr>
                    <w:rFonts w:ascii="Times New Roman" w:hAnsi="Times New Roman"/>
                    <w:b/>
                    <w:color w:val="2F5496" w:themeColor="accent1" w:themeShade="BF"/>
                    <w:sz w:val="20"/>
                  </w:rPr>
                  <w:fldChar w:fldCharType="separate"/>
                </w:r>
                <w:r w:rsidR="00F53EA6">
                  <w:rPr>
                    <w:rFonts w:ascii="Times New Roman" w:hAnsi="Times New Roman"/>
                    <w:b/>
                    <w:noProof/>
                    <w:color w:val="2F5496" w:themeColor="accent1" w:themeShade="BF"/>
                    <w:sz w:val="20"/>
                  </w:rPr>
                  <w:t>149</w:t>
                </w:r>
                <w:r w:rsidR="005E0890" w:rsidRPr="00C1330E">
                  <w:rPr>
                    <w:rFonts w:ascii="Times New Roman" w:hAnsi="Times New Roman"/>
                    <w:b/>
                    <w:color w:val="2F5496" w:themeColor="accent1" w:themeShade="BF"/>
                    <w:sz w:val="20"/>
                  </w:rPr>
                  <w:fldChar w:fldCharType="end"/>
                </w:r>
              </w:p>
            </w:txbxContent>
          </v:textbox>
          <w10:wrap anchorx="page" anchory="page"/>
        </v:shape>
      </w:pict>
    </w:r>
    <w:r>
      <w:rPr>
        <w:noProof/>
      </w:rPr>
      <w:pict w14:anchorId="26DE5E99">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F274D" w14:textId="77777777" w:rsidR="0000316A" w:rsidRDefault="0000316A" w:rsidP="00D15D21">
      <w:pPr>
        <w:spacing w:after="0" w:line="240" w:lineRule="auto"/>
      </w:pPr>
      <w:r>
        <w:separator/>
      </w:r>
    </w:p>
  </w:footnote>
  <w:footnote w:type="continuationSeparator" w:id="0">
    <w:p w14:paraId="06F212E9" w14:textId="77777777" w:rsidR="0000316A" w:rsidRDefault="0000316A" w:rsidP="00D15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4803" w14:textId="77777777" w:rsidR="008C3C71"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rPr>
      <w:drawing>
        <wp:anchor distT="0" distB="0" distL="114300" distR="114300" simplePos="0" relativeHeight="251671552" behindDoc="0" locked="0" layoutInCell="1" allowOverlap="1" wp14:anchorId="7BD75043" wp14:editId="0E2F026B">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1"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000000">
      <w:rPr>
        <w:rFonts w:ascii="Times New Roman" w:hAnsi="Times New Roman"/>
        <w:noProof/>
        <w:sz w:val="20"/>
        <w:szCs w:val="20"/>
        <w:lang w:eastAsia="en-IN"/>
      </w:rPr>
      <w:pict w14:anchorId="3C7C81E3">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14:paraId="5F95CEB7" w14:textId="77777777" w:rsidR="008C3C71" w:rsidRPr="001B6423" w:rsidRDefault="008C3C71"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w:t>
                </w:r>
                <w:r w:rsidR="00B00FCC" w:rsidRPr="00B00FCC">
                  <w:rPr>
                    <w:rFonts w:ascii="Times New Roman" w:hAnsi="Times New Roman"/>
                    <w:b/>
                    <w:color w:val="2F5496" w:themeColor="accent1" w:themeShade="BF"/>
                    <w:sz w:val="24"/>
                    <w:szCs w:val="24"/>
                  </w:rPr>
                  <w:t xml:space="preserve"> </w:t>
                </w:r>
                <w:r w:rsidR="00B00FCC">
                  <w:rPr>
                    <w:rFonts w:ascii="Times New Roman" w:hAnsi="Times New Roman"/>
                    <w:b/>
                    <w:color w:val="2F5496" w:themeColor="accent1" w:themeShade="BF"/>
                    <w:sz w:val="24"/>
                    <w:szCs w:val="24"/>
                  </w:rPr>
                  <w:t>Autumn Conference</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Pr>
                    <w:rFonts w:ascii="Times New Roman" w:hAnsi="Times New Roman"/>
                    <w:b/>
                    <w:color w:val="2F5496" w:themeColor="accent1" w:themeShade="BF"/>
                    <w:sz w:val="24"/>
                    <w:szCs w:val="24"/>
                  </w:rPr>
                  <w:t xml:space="preserve">| DOI: 10.68050/JAMS </w:t>
                </w:r>
              </w:p>
              <w:p w14:paraId="11281E32" w14:textId="77777777" w:rsidR="008C3C71" w:rsidRPr="006B5EF2" w:rsidRDefault="008C3C71" w:rsidP="001B6423">
                <w:pPr>
                  <w:jc w:val="center"/>
                  <w:rPr>
                    <w:rFonts w:ascii="Times New Roman" w:hAnsi="Times New Roman"/>
                    <w:sz w:val="20"/>
                    <w:szCs w:val="20"/>
                  </w:rPr>
                </w:pPr>
              </w:p>
            </w:txbxContent>
          </v:textbox>
          <w10:wrap anchorx="page" anchory="page"/>
        </v:shape>
      </w:pict>
    </w:r>
  </w:p>
  <w:p w14:paraId="4E5D8C02" w14:textId="77777777" w:rsidR="008C3C71" w:rsidRPr="00E67DAA"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14:paraId="75D0F85F" w14:textId="77777777" w:rsidR="008C3C71" w:rsidRPr="00E67DAA" w:rsidRDefault="00000000"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Pr>
        <w:rFonts w:ascii="Times New Roman" w:hAnsi="Times New Roman"/>
        <w:noProof/>
        <w:sz w:val="20"/>
        <w:szCs w:val="20"/>
        <w:lang w:eastAsia="en-IN"/>
      </w:rPr>
    </w:r>
    <w:r>
      <w:rPr>
        <w:rFonts w:ascii="Times New Roman" w:hAnsi="Times New Roman"/>
        <w:noProof/>
        <w:sz w:val="20"/>
        <w:szCs w:val="20"/>
        <w:lang w:eastAsia="en-IN"/>
      </w:rPr>
      <w:pict w14:anchorId="16AFE0EB">
        <v:group id="Group 406503008" o:spid="_x0000_s1032" style="width:532.8pt;height:1.5pt;mso-position-horizontal-relative:char;mso-position-vertical-relative:line" coordsize="66713,19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Pr>
        <w:rFonts w:ascii="Times New Roman" w:hAnsi="Times New Roman"/>
        <w:noProof/>
        <w:sz w:val="20"/>
        <w:szCs w:val="20"/>
        <w:lang w:eastAsia="en-IN"/>
      </w:rPr>
      <w:pict w14:anchorId="74545290">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5326F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8363B4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B903E20"/>
    <w:multiLevelType w:val="multilevel"/>
    <w:tmpl w:val="13E0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202C3"/>
    <w:multiLevelType w:val="multilevel"/>
    <w:tmpl w:val="623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D39A7"/>
    <w:multiLevelType w:val="hybridMultilevel"/>
    <w:tmpl w:val="D750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C2413"/>
    <w:multiLevelType w:val="multilevel"/>
    <w:tmpl w:val="353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81792"/>
    <w:multiLevelType w:val="multilevel"/>
    <w:tmpl w:val="E95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46E7A"/>
    <w:multiLevelType w:val="hybridMultilevel"/>
    <w:tmpl w:val="21E0E356"/>
    <w:lvl w:ilvl="0" w:tplc="6934522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8" w15:restartNumberingAfterBreak="0">
    <w:nsid w:val="1B7757ED"/>
    <w:multiLevelType w:val="hybridMultilevel"/>
    <w:tmpl w:val="46E4FE66"/>
    <w:lvl w:ilvl="0" w:tplc="4FE0C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5327A"/>
    <w:multiLevelType w:val="hybridMultilevel"/>
    <w:tmpl w:val="A880E6B6"/>
    <w:lvl w:ilvl="0" w:tplc="2E68D36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1C743C2E"/>
    <w:multiLevelType w:val="multilevel"/>
    <w:tmpl w:val="C15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141F4"/>
    <w:multiLevelType w:val="multilevel"/>
    <w:tmpl w:val="E572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E27BF"/>
    <w:multiLevelType w:val="multilevel"/>
    <w:tmpl w:val="1A6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47C03"/>
    <w:multiLevelType w:val="hybridMultilevel"/>
    <w:tmpl w:val="A85E9456"/>
    <w:lvl w:ilvl="0" w:tplc="70862D0E">
      <w:start w:val="1"/>
      <w:numFmt w:val="decimal"/>
      <w:lvlText w:val="(%1)"/>
      <w:lvlJc w:val="left"/>
      <w:pPr>
        <w:ind w:left="4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D34A5"/>
    <w:multiLevelType w:val="multilevel"/>
    <w:tmpl w:val="A6DC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D0138B"/>
    <w:multiLevelType w:val="multilevel"/>
    <w:tmpl w:val="D5D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850026"/>
    <w:multiLevelType w:val="multilevel"/>
    <w:tmpl w:val="9B68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F45B3E"/>
    <w:multiLevelType w:val="hybridMultilevel"/>
    <w:tmpl w:val="43BA91D6"/>
    <w:lvl w:ilvl="0" w:tplc="56685EE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3D3EFF"/>
    <w:multiLevelType w:val="hybridMultilevel"/>
    <w:tmpl w:val="160C29F4"/>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A036A9"/>
    <w:multiLevelType w:val="multilevel"/>
    <w:tmpl w:val="617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D14458"/>
    <w:multiLevelType w:val="hybridMultilevel"/>
    <w:tmpl w:val="E42610FE"/>
    <w:lvl w:ilvl="0" w:tplc="70862D0E">
      <w:start w:val="1"/>
      <w:numFmt w:val="decimal"/>
      <w:lvlText w:val="(%1)"/>
      <w:lvlJc w:val="left"/>
      <w:pPr>
        <w:ind w:left="465" w:hanging="405"/>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3E2B3E1F"/>
    <w:multiLevelType w:val="multilevel"/>
    <w:tmpl w:val="E87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C5978"/>
    <w:multiLevelType w:val="hybridMultilevel"/>
    <w:tmpl w:val="B3F0846A"/>
    <w:lvl w:ilvl="0" w:tplc="82E06C4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8B01A2"/>
    <w:multiLevelType w:val="multilevel"/>
    <w:tmpl w:val="82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0C1491"/>
    <w:multiLevelType w:val="multilevel"/>
    <w:tmpl w:val="50F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7D562F"/>
    <w:multiLevelType w:val="hybridMultilevel"/>
    <w:tmpl w:val="2EE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D578D4"/>
    <w:multiLevelType w:val="multilevel"/>
    <w:tmpl w:val="6506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A7B6A"/>
    <w:multiLevelType w:val="multilevel"/>
    <w:tmpl w:val="A368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D47B88"/>
    <w:multiLevelType w:val="hybridMultilevel"/>
    <w:tmpl w:val="E88246E2"/>
    <w:lvl w:ilvl="0" w:tplc="82E06C4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5715E9"/>
    <w:multiLevelType w:val="hybridMultilevel"/>
    <w:tmpl w:val="AA0E47EE"/>
    <w:lvl w:ilvl="0" w:tplc="29C0387E">
      <w:start w:val="1"/>
      <w:numFmt w:val="lowerRoman"/>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4154FEB"/>
    <w:multiLevelType w:val="hybridMultilevel"/>
    <w:tmpl w:val="709EF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B548B8"/>
    <w:multiLevelType w:val="hybridMultilevel"/>
    <w:tmpl w:val="E73ED876"/>
    <w:lvl w:ilvl="0" w:tplc="0409000F">
      <w:start w:val="1"/>
      <w:numFmt w:val="decimal"/>
      <w:lvlText w:val="%1."/>
      <w:lvlJc w:val="left"/>
      <w:pPr>
        <w:ind w:left="4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C8242E"/>
    <w:multiLevelType w:val="multilevel"/>
    <w:tmpl w:val="4F7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80C2A"/>
    <w:multiLevelType w:val="multilevel"/>
    <w:tmpl w:val="C92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E17B86"/>
    <w:multiLevelType w:val="hybridMultilevel"/>
    <w:tmpl w:val="53382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7549FA"/>
    <w:multiLevelType w:val="hybridMultilevel"/>
    <w:tmpl w:val="5AD6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133FE5"/>
    <w:multiLevelType w:val="hybridMultilevel"/>
    <w:tmpl w:val="12EE94A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797AC6"/>
    <w:multiLevelType w:val="hybridMultilevel"/>
    <w:tmpl w:val="C228273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483366">
    <w:abstractNumId w:val="15"/>
  </w:num>
  <w:num w:numId="2" w16cid:durableId="1710686924">
    <w:abstractNumId w:val="32"/>
  </w:num>
  <w:num w:numId="3" w16cid:durableId="1295717048">
    <w:abstractNumId w:val="23"/>
  </w:num>
  <w:num w:numId="4" w16cid:durableId="118838038">
    <w:abstractNumId w:val="16"/>
  </w:num>
  <w:num w:numId="5" w16cid:durableId="1123304952">
    <w:abstractNumId w:val="5"/>
  </w:num>
  <w:num w:numId="6" w16cid:durableId="438992735">
    <w:abstractNumId w:val="10"/>
  </w:num>
  <w:num w:numId="7" w16cid:durableId="1908493575">
    <w:abstractNumId w:val="24"/>
  </w:num>
  <w:num w:numId="8" w16cid:durableId="1565333109">
    <w:abstractNumId w:val="33"/>
  </w:num>
  <w:num w:numId="9" w16cid:durableId="1960993950">
    <w:abstractNumId w:val="2"/>
  </w:num>
  <w:num w:numId="10" w16cid:durableId="29766497">
    <w:abstractNumId w:val="19"/>
  </w:num>
  <w:num w:numId="11" w16cid:durableId="633607636">
    <w:abstractNumId w:val="6"/>
  </w:num>
  <w:num w:numId="12" w16cid:durableId="1256016484">
    <w:abstractNumId w:val="12"/>
  </w:num>
  <w:num w:numId="13" w16cid:durableId="524293934">
    <w:abstractNumId w:val="14"/>
  </w:num>
  <w:num w:numId="14" w16cid:durableId="1448767843">
    <w:abstractNumId w:val="3"/>
  </w:num>
  <w:num w:numId="15" w16cid:durableId="53241567">
    <w:abstractNumId w:val="27"/>
  </w:num>
  <w:num w:numId="16" w16cid:durableId="481583834">
    <w:abstractNumId w:val="21"/>
  </w:num>
  <w:num w:numId="17" w16cid:durableId="100956151">
    <w:abstractNumId w:val="26"/>
  </w:num>
  <w:num w:numId="18" w16cid:durableId="1070076106">
    <w:abstractNumId w:val="35"/>
  </w:num>
  <w:num w:numId="19" w16cid:durableId="611479211">
    <w:abstractNumId w:val="34"/>
  </w:num>
  <w:num w:numId="20" w16cid:durableId="8607325">
    <w:abstractNumId w:val="0"/>
  </w:num>
  <w:num w:numId="21" w16cid:durableId="1764446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9476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1241441">
    <w:abstractNumId w:val="4"/>
  </w:num>
  <w:num w:numId="24" w16cid:durableId="932250584">
    <w:abstractNumId w:val="11"/>
  </w:num>
  <w:num w:numId="25" w16cid:durableId="518130613">
    <w:abstractNumId w:val="7"/>
  </w:num>
  <w:num w:numId="26" w16cid:durableId="206333984">
    <w:abstractNumId w:val="22"/>
  </w:num>
  <w:num w:numId="27" w16cid:durableId="1752653845">
    <w:abstractNumId w:val="8"/>
  </w:num>
  <w:num w:numId="28" w16cid:durableId="1272397966">
    <w:abstractNumId w:val="29"/>
  </w:num>
  <w:num w:numId="29" w16cid:durableId="1714109935">
    <w:abstractNumId w:val="28"/>
  </w:num>
  <w:num w:numId="30" w16cid:durableId="1190603952">
    <w:abstractNumId w:val="17"/>
  </w:num>
  <w:num w:numId="31" w16cid:durableId="491875701">
    <w:abstractNumId w:val="36"/>
  </w:num>
  <w:num w:numId="32" w16cid:durableId="1071974072">
    <w:abstractNumId w:val="37"/>
  </w:num>
  <w:num w:numId="33" w16cid:durableId="296451367">
    <w:abstractNumId w:val="18"/>
  </w:num>
  <w:num w:numId="34" w16cid:durableId="611523329">
    <w:abstractNumId w:val="30"/>
  </w:num>
  <w:num w:numId="35" w16cid:durableId="270209189">
    <w:abstractNumId w:val="9"/>
  </w:num>
  <w:num w:numId="36" w16cid:durableId="1042292671">
    <w:abstractNumId w:val="25"/>
  </w:num>
  <w:num w:numId="37" w16cid:durableId="1719746301">
    <w:abstractNumId w:val="20"/>
  </w:num>
  <w:num w:numId="38" w16cid:durableId="1424768042">
    <w:abstractNumId w:val="13"/>
  </w:num>
  <w:num w:numId="39" w16cid:durableId="795370594">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02F3"/>
    <w:rsid w:val="00003080"/>
    <w:rsid w:val="0000316A"/>
    <w:rsid w:val="000051CE"/>
    <w:rsid w:val="000053E2"/>
    <w:rsid w:val="00006431"/>
    <w:rsid w:val="00006C14"/>
    <w:rsid w:val="00014DDF"/>
    <w:rsid w:val="0001586A"/>
    <w:rsid w:val="00017A42"/>
    <w:rsid w:val="00017C42"/>
    <w:rsid w:val="00026A8A"/>
    <w:rsid w:val="0002704E"/>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22A7"/>
    <w:rsid w:val="000B32E2"/>
    <w:rsid w:val="000B3A39"/>
    <w:rsid w:val="000B4374"/>
    <w:rsid w:val="000B684D"/>
    <w:rsid w:val="000B7F5F"/>
    <w:rsid w:val="000C31D0"/>
    <w:rsid w:val="000C33E6"/>
    <w:rsid w:val="000C3C1D"/>
    <w:rsid w:val="000C77E7"/>
    <w:rsid w:val="000C7F19"/>
    <w:rsid w:val="000D16D6"/>
    <w:rsid w:val="000D1C94"/>
    <w:rsid w:val="000D75C9"/>
    <w:rsid w:val="000E7C77"/>
    <w:rsid w:val="000F32C0"/>
    <w:rsid w:val="000F4896"/>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35A"/>
    <w:rsid w:val="00231582"/>
    <w:rsid w:val="00232ECE"/>
    <w:rsid w:val="002401E7"/>
    <w:rsid w:val="002406DF"/>
    <w:rsid w:val="002438C5"/>
    <w:rsid w:val="00244865"/>
    <w:rsid w:val="00245AB0"/>
    <w:rsid w:val="00247CF2"/>
    <w:rsid w:val="002543EF"/>
    <w:rsid w:val="00255D08"/>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23294"/>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1A70"/>
    <w:rsid w:val="00455477"/>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A11F4"/>
    <w:rsid w:val="004A3DF4"/>
    <w:rsid w:val="004A40CE"/>
    <w:rsid w:val="004B0571"/>
    <w:rsid w:val="004B4AD3"/>
    <w:rsid w:val="004C28FB"/>
    <w:rsid w:val="004C31B8"/>
    <w:rsid w:val="004D21DD"/>
    <w:rsid w:val="004D6D58"/>
    <w:rsid w:val="004D792D"/>
    <w:rsid w:val="004E275F"/>
    <w:rsid w:val="004E297D"/>
    <w:rsid w:val="004E6767"/>
    <w:rsid w:val="004E76D2"/>
    <w:rsid w:val="004E7A59"/>
    <w:rsid w:val="004F3451"/>
    <w:rsid w:val="004F3928"/>
    <w:rsid w:val="004F63B5"/>
    <w:rsid w:val="005044A3"/>
    <w:rsid w:val="00504F2B"/>
    <w:rsid w:val="00505015"/>
    <w:rsid w:val="0050506C"/>
    <w:rsid w:val="0050645F"/>
    <w:rsid w:val="0050712F"/>
    <w:rsid w:val="00507E76"/>
    <w:rsid w:val="00534B8B"/>
    <w:rsid w:val="00544604"/>
    <w:rsid w:val="00544E90"/>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BF6"/>
    <w:rsid w:val="005A22EC"/>
    <w:rsid w:val="005A4140"/>
    <w:rsid w:val="005B2F30"/>
    <w:rsid w:val="005B521B"/>
    <w:rsid w:val="005C0A57"/>
    <w:rsid w:val="005C421E"/>
    <w:rsid w:val="005C48A9"/>
    <w:rsid w:val="005C7663"/>
    <w:rsid w:val="005D25EC"/>
    <w:rsid w:val="005D28D3"/>
    <w:rsid w:val="005D71C2"/>
    <w:rsid w:val="005E0890"/>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21D4"/>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F13B4"/>
    <w:rsid w:val="007F4AE2"/>
    <w:rsid w:val="007F4CB6"/>
    <w:rsid w:val="00806353"/>
    <w:rsid w:val="008149D9"/>
    <w:rsid w:val="00817AD2"/>
    <w:rsid w:val="00822389"/>
    <w:rsid w:val="00826674"/>
    <w:rsid w:val="00827980"/>
    <w:rsid w:val="0084169E"/>
    <w:rsid w:val="00841D37"/>
    <w:rsid w:val="00842AA1"/>
    <w:rsid w:val="00843E13"/>
    <w:rsid w:val="0084647B"/>
    <w:rsid w:val="00863436"/>
    <w:rsid w:val="008674F0"/>
    <w:rsid w:val="008752F2"/>
    <w:rsid w:val="008833F1"/>
    <w:rsid w:val="0088438E"/>
    <w:rsid w:val="008A0A48"/>
    <w:rsid w:val="008A15FE"/>
    <w:rsid w:val="008A76C1"/>
    <w:rsid w:val="008B0F71"/>
    <w:rsid w:val="008B0F8D"/>
    <w:rsid w:val="008B18EA"/>
    <w:rsid w:val="008C34EB"/>
    <w:rsid w:val="008C3C71"/>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4659"/>
    <w:rsid w:val="00957748"/>
    <w:rsid w:val="0097332D"/>
    <w:rsid w:val="00986B8A"/>
    <w:rsid w:val="00996251"/>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6054"/>
    <w:rsid w:val="009F64D9"/>
    <w:rsid w:val="009F68AF"/>
    <w:rsid w:val="009F7A03"/>
    <w:rsid w:val="00A047E1"/>
    <w:rsid w:val="00A0521D"/>
    <w:rsid w:val="00A0662C"/>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74FD"/>
    <w:rsid w:val="00A64E9F"/>
    <w:rsid w:val="00A72ECC"/>
    <w:rsid w:val="00A72F73"/>
    <w:rsid w:val="00A747B7"/>
    <w:rsid w:val="00A752D7"/>
    <w:rsid w:val="00A77056"/>
    <w:rsid w:val="00A82652"/>
    <w:rsid w:val="00A869C5"/>
    <w:rsid w:val="00A874BB"/>
    <w:rsid w:val="00A91087"/>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0FCC"/>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3BC9"/>
    <w:rsid w:val="00B54893"/>
    <w:rsid w:val="00B56CB4"/>
    <w:rsid w:val="00B571FC"/>
    <w:rsid w:val="00B70B8B"/>
    <w:rsid w:val="00B71E4B"/>
    <w:rsid w:val="00B75D51"/>
    <w:rsid w:val="00B76DB1"/>
    <w:rsid w:val="00B80050"/>
    <w:rsid w:val="00B95411"/>
    <w:rsid w:val="00B95F68"/>
    <w:rsid w:val="00B97877"/>
    <w:rsid w:val="00BB21A8"/>
    <w:rsid w:val="00BB4EC2"/>
    <w:rsid w:val="00BB5F43"/>
    <w:rsid w:val="00BC5950"/>
    <w:rsid w:val="00BC654A"/>
    <w:rsid w:val="00BD1DB0"/>
    <w:rsid w:val="00BD20EA"/>
    <w:rsid w:val="00BD5E07"/>
    <w:rsid w:val="00BD7237"/>
    <w:rsid w:val="00BD77A9"/>
    <w:rsid w:val="00BE36CB"/>
    <w:rsid w:val="00BE55D0"/>
    <w:rsid w:val="00BF33A5"/>
    <w:rsid w:val="00BF3D98"/>
    <w:rsid w:val="00BF3FE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77F3C"/>
    <w:rsid w:val="00C82600"/>
    <w:rsid w:val="00C8328D"/>
    <w:rsid w:val="00C84012"/>
    <w:rsid w:val="00C85357"/>
    <w:rsid w:val="00C865A0"/>
    <w:rsid w:val="00C87343"/>
    <w:rsid w:val="00CA392A"/>
    <w:rsid w:val="00CA49FE"/>
    <w:rsid w:val="00CB051C"/>
    <w:rsid w:val="00CB2CC7"/>
    <w:rsid w:val="00CC1C5E"/>
    <w:rsid w:val="00CC6E2F"/>
    <w:rsid w:val="00CD2B8C"/>
    <w:rsid w:val="00CD30B0"/>
    <w:rsid w:val="00CD61D2"/>
    <w:rsid w:val="00CD65E7"/>
    <w:rsid w:val="00CE3F34"/>
    <w:rsid w:val="00CE5391"/>
    <w:rsid w:val="00CE7214"/>
    <w:rsid w:val="00CF60EF"/>
    <w:rsid w:val="00CF7F8F"/>
    <w:rsid w:val="00D06751"/>
    <w:rsid w:val="00D07920"/>
    <w:rsid w:val="00D14A1B"/>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A689F"/>
    <w:rsid w:val="00DB4C9D"/>
    <w:rsid w:val="00DB6ED6"/>
    <w:rsid w:val="00DC1C1E"/>
    <w:rsid w:val="00DD1413"/>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50B6"/>
    <w:rsid w:val="00E367F6"/>
    <w:rsid w:val="00E37D1C"/>
    <w:rsid w:val="00E43996"/>
    <w:rsid w:val="00E441F6"/>
    <w:rsid w:val="00E508B6"/>
    <w:rsid w:val="00E508E3"/>
    <w:rsid w:val="00E53ED3"/>
    <w:rsid w:val="00E56948"/>
    <w:rsid w:val="00E56CA9"/>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161F"/>
    <w:rsid w:val="00E955C7"/>
    <w:rsid w:val="00EA1E75"/>
    <w:rsid w:val="00EA4129"/>
    <w:rsid w:val="00EA6E2F"/>
    <w:rsid w:val="00EA6FD7"/>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3EA6"/>
    <w:rsid w:val="00F549A6"/>
    <w:rsid w:val="00F55E25"/>
    <w:rsid w:val="00F56613"/>
    <w:rsid w:val="00F6390B"/>
    <w:rsid w:val="00F642D9"/>
    <w:rsid w:val="00F715E6"/>
    <w:rsid w:val="00F720B5"/>
    <w:rsid w:val="00F763B9"/>
    <w:rsid w:val="00F767F6"/>
    <w:rsid w:val="00F76D2A"/>
    <w:rsid w:val="00F86E37"/>
    <w:rsid w:val="00F9175C"/>
    <w:rsid w:val="00F96304"/>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E0390"/>
  <w15:docId w15:val="{D9698531-E4EC-48A9-AA2D-103F58C7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iPriority w:val="9"/>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basedOn w:val="Normal"/>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semiHidden/>
    <w:rsid w:val="00D15D21"/>
    <w:rPr>
      <w:rFonts w:ascii="Calibri" w:eastAsia="SimSun" w:hAnsi="Calibri" w:cs="Times New Roman"/>
      <w:kern w:val="0"/>
      <w:sz w:val="20"/>
      <w:szCs w:val="20"/>
      <w:lang w:eastAsia="zh-CN"/>
    </w:rPr>
  </w:style>
  <w:style w:type="character" w:styleId="FootnoteReference">
    <w:name w:val="footnote reference"/>
    <w:unhideWhenUsed/>
    <w:rsid w:val="00D15D21"/>
    <w:rPr>
      <w:vertAlign w:val="superscript"/>
    </w:rPr>
  </w:style>
  <w:style w:type="character" w:styleId="Emphasis">
    <w:name w:val="Emphasis"/>
    <w:basedOn w:val="DefaultParagraphFont"/>
    <w:uiPriority w:val="20"/>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2">
    <w:name w:val="Unresolved Mention2"/>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body"/>
    <w:link w:val="NoSpacingChar"/>
    <w:uiPriority w:val="1"/>
    <w:qFormat/>
    <w:rsid w:val="00906ADB"/>
    <w:pPr>
      <w:bidi/>
      <w:spacing w:after="0" w:line="240" w:lineRule="auto"/>
    </w:pPr>
  </w:style>
  <w:style w:type="character" w:customStyle="1" w:styleId="Heading2Char">
    <w:name w:val="Heading 2 Char"/>
    <w:basedOn w:val="DefaultParagraphFont"/>
    <w:link w:val="Heading2"/>
    <w:uiPriority w:val="9"/>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uiPriority w:val="9"/>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semiHidden/>
    <w:unhideWhenUsed/>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A689F"/>
    <w:rPr>
      <w:rFonts w:ascii="Segoe UI" w:hAnsi="Segoe UI" w:cs="Segoe UI"/>
      <w:kern w:val="0"/>
      <w:sz w:val="18"/>
      <w:szCs w:val="18"/>
    </w:rPr>
  </w:style>
  <w:style w:type="table" w:styleId="TableGrid">
    <w:name w:val="Table Grid"/>
    <w:basedOn w:val="TableNormal"/>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1">
    <w:name w:val="Plain Table 11"/>
    <w:basedOn w:val="TableNormal"/>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rsid w:val="00DA689F"/>
  </w:style>
  <w:style w:type="table" w:customStyle="1" w:styleId="GridTable1Light1">
    <w:name w:val="Grid Table 1 Light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uiPriority w:val="10"/>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1">
    <w:name w:val="Grid Table 1 Light - Accent 3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0">
    <w:name w:val="Plain Table 11"/>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0">
    <w:name w:val="Table Grid Light1"/>
    <w:basedOn w:val="TableNormal"/>
    <w:next w:val="TableGridLight1"/>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0">
    <w:name w:val="Plain Table 31"/>
    <w:basedOn w:val="TableNormal"/>
    <w:next w:val="PlainTable31"/>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0">
    <w:name w:val="Grid Table 1 Light1"/>
    <w:basedOn w:val="TableNormal"/>
    <w:next w:val="GridTable1Light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1">
    <w:name w:val="A11"/>
    <w:uiPriority w:val="99"/>
    <w:rsid w:val="00DA689F"/>
    <w:rPr>
      <w:rFonts w:cs="Cambria"/>
      <w:color w:val="000000"/>
      <w:sz w:val="18"/>
      <w:szCs w:val="18"/>
    </w:rPr>
  </w:style>
  <w:style w:type="table" w:customStyle="1" w:styleId="GridTable1Light-Accent110">
    <w:name w:val="Grid Table 1 Light - Accent 11"/>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1">
    <w:name w:val="Grid Table 5 Dark1"/>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iPriority w:val="99"/>
    <w:semiHidden/>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0">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1">
    <w:name w:val="Plain Table 41"/>
    <w:basedOn w:val="TableNormal"/>
    <w:uiPriority w:val="44"/>
    <w:rsid w:val="00DA689F"/>
    <w:pPr>
      <w:spacing w:before="100" w:beforeAutospacing="1" w:after="240" w:line="240" w:lineRule="auto"/>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semiHidden/>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99"/>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1">
    <w:name w:val="Grid Table 1 Light - Accent 6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A689F"/>
    <w:pPr>
      <w:spacing w:before="100" w:beforeAutospacing="1" w:after="240" w:line="240" w:lineRule="auto"/>
      <w:jc w:val="both"/>
    </w:pPr>
    <w:rPr>
      <w:kern w:val="0"/>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rPr>
      <w:rFonts w:ascii="Times New Roman" w:eastAsia="Calibri" w:hAnsi="Times New Roman" w:cs="Times New Roman"/>
      <w:b/>
      <w:iCs/>
      <w:kern w:val="0"/>
      <w:sz w:val="24"/>
      <w:szCs w:val="24"/>
    </w:rPr>
  </w:style>
  <w:style w:type="character" w:customStyle="1" w:styleId="TABChar">
    <w:name w:val="TAB Char"/>
    <w:basedOn w:val="CaptionChar"/>
    <w:link w:val="TAB"/>
    <w:rsid w:val="00DA689F"/>
    <w:rPr>
      <w:rFonts w:ascii="Times New Roman" w:eastAsia="Times New Roman" w:hAnsi="Times New Roman" w:cs="Times New Roman"/>
      <w:b/>
      <w:iCs/>
      <w:kern w:val="0"/>
      <w:sz w:val="24"/>
      <w:szCs w:val="24"/>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rPr>
      <w:rFonts w:ascii="Times New Roman" w:eastAsia="Calibri" w:hAnsi="Times New Roman" w:cs="Times New Roman"/>
      <w:b/>
      <w:iCs/>
      <w:kern w:val="0"/>
      <w:sz w:val="24"/>
      <w:szCs w:val="24"/>
    </w:rPr>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iPriority w:val="9"/>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val="en-IN" w:eastAsia="e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eastAsia="Calibri" w:hAnsi="Consolas" w:cs="Times New Roman"/>
      <w:b/>
      <w:iCs/>
      <w:kern w:val="0"/>
      <w:sz w:val="24"/>
      <w:szCs w:val="24"/>
    </w:rPr>
  </w:style>
  <w:style w:type="character" w:customStyle="1" w:styleId="SectionNumber">
    <w:name w:val="Section Number"/>
    <w:basedOn w:val="CaptionChar"/>
    <w:rsid w:val="00C64789"/>
    <w:rPr>
      <w:rFonts w:ascii="Times New Roman" w:eastAsia="Calibri" w:hAnsi="Times New Roman" w:cs="Times New Roman"/>
      <w:b/>
      <w:iCs/>
      <w:kern w:val="0"/>
      <w:sz w:val="24"/>
      <w:szCs w:val="24"/>
    </w:rPr>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rFonts w:ascii="Consolas" w:eastAsia="Calibri" w:hAnsi="Consolas" w:cs="Times New Roman"/>
      <w:b/>
      <w:iCs/>
      <w:color w:val="007020"/>
      <w:kern w:val="0"/>
      <w:sz w:val="24"/>
      <w:szCs w:val="24"/>
    </w:rPr>
  </w:style>
  <w:style w:type="character" w:customStyle="1" w:styleId="DataTypeTok">
    <w:name w:val="DataTypeTok"/>
    <w:basedOn w:val="VerbatimChar"/>
    <w:rsid w:val="00C64789"/>
    <w:rPr>
      <w:rFonts w:ascii="Consolas" w:eastAsia="Calibri" w:hAnsi="Consolas" w:cs="Times New Roman"/>
      <w:b/>
      <w:iCs/>
      <w:color w:val="902000"/>
      <w:kern w:val="0"/>
      <w:sz w:val="24"/>
      <w:szCs w:val="24"/>
    </w:rPr>
  </w:style>
  <w:style w:type="character" w:customStyle="1" w:styleId="DecValTok">
    <w:name w:val="DecValTok"/>
    <w:basedOn w:val="VerbatimChar"/>
    <w:rsid w:val="00C64789"/>
    <w:rPr>
      <w:rFonts w:ascii="Consolas" w:eastAsia="Calibri" w:hAnsi="Consolas" w:cs="Times New Roman"/>
      <w:b/>
      <w:iCs/>
      <w:color w:val="40A070"/>
      <w:kern w:val="0"/>
      <w:sz w:val="24"/>
      <w:szCs w:val="24"/>
    </w:rPr>
  </w:style>
  <w:style w:type="character" w:customStyle="1" w:styleId="BaseNTok">
    <w:name w:val="BaseNTok"/>
    <w:basedOn w:val="VerbatimChar"/>
    <w:rsid w:val="00C64789"/>
    <w:rPr>
      <w:rFonts w:ascii="Consolas" w:eastAsia="Calibri" w:hAnsi="Consolas" w:cs="Times New Roman"/>
      <w:b/>
      <w:iCs/>
      <w:color w:val="40A070"/>
      <w:kern w:val="0"/>
      <w:sz w:val="24"/>
      <w:szCs w:val="24"/>
    </w:rPr>
  </w:style>
  <w:style w:type="character" w:customStyle="1" w:styleId="FloatTok">
    <w:name w:val="FloatTok"/>
    <w:basedOn w:val="VerbatimChar"/>
    <w:rsid w:val="00C64789"/>
    <w:rPr>
      <w:rFonts w:ascii="Consolas" w:eastAsia="Calibri" w:hAnsi="Consolas" w:cs="Times New Roman"/>
      <w:b/>
      <w:iCs/>
      <w:color w:val="40A070"/>
      <w:kern w:val="0"/>
      <w:sz w:val="24"/>
      <w:szCs w:val="24"/>
    </w:rPr>
  </w:style>
  <w:style w:type="character" w:customStyle="1" w:styleId="ConstantTok">
    <w:name w:val="ConstantTok"/>
    <w:basedOn w:val="VerbatimChar"/>
    <w:rsid w:val="00C64789"/>
    <w:rPr>
      <w:rFonts w:ascii="Consolas" w:eastAsia="Calibri" w:hAnsi="Consolas" w:cs="Times New Roman"/>
      <w:b/>
      <w:iCs/>
      <w:color w:val="880000"/>
      <w:kern w:val="0"/>
      <w:sz w:val="24"/>
      <w:szCs w:val="24"/>
    </w:rPr>
  </w:style>
  <w:style w:type="character" w:customStyle="1" w:styleId="CharTok">
    <w:name w:val="CharTok"/>
    <w:basedOn w:val="VerbatimChar"/>
    <w:rsid w:val="00C64789"/>
    <w:rPr>
      <w:rFonts w:ascii="Consolas" w:eastAsia="Calibri" w:hAnsi="Consolas" w:cs="Times New Roman"/>
      <w:b/>
      <w:iCs/>
      <w:color w:val="4070A0"/>
      <w:kern w:val="0"/>
      <w:sz w:val="24"/>
      <w:szCs w:val="24"/>
    </w:rPr>
  </w:style>
  <w:style w:type="character" w:customStyle="1" w:styleId="SpecialCharTok">
    <w:name w:val="SpecialCharTok"/>
    <w:basedOn w:val="VerbatimChar"/>
    <w:rsid w:val="00C64789"/>
    <w:rPr>
      <w:rFonts w:ascii="Consolas" w:eastAsia="Calibri" w:hAnsi="Consolas" w:cs="Times New Roman"/>
      <w:b/>
      <w:iCs/>
      <w:color w:val="4070A0"/>
      <w:kern w:val="0"/>
      <w:sz w:val="24"/>
      <w:szCs w:val="24"/>
    </w:rPr>
  </w:style>
  <w:style w:type="character" w:customStyle="1" w:styleId="StringTok">
    <w:name w:val="StringTok"/>
    <w:basedOn w:val="VerbatimChar"/>
    <w:rsid w:val="00C64789"/>
    <w:rPr>
      <w:rFonts w:ascii="Consolas" w:eastAsia="Calibri" w:hAnsi="Consolas" w:cs="Times New Roman"/>
      <w:b/>
      <w:iCs/>
      <w:color w:val="4070A0"/>
      <w:kern w:val="0"/>
      <w:sz w:val="24"/>
      <w:szCs w:val="24"/>
    </w:rPr>
  </w:style>
  <w:style w:type="character" w:customStyle="1" w:styleId="VerbatimStringTok">
    <w:name w:val="VerbatimStringTok"/>
    <w:basedOn w:val="VerbatimChar"/>
    <w:rsid w:val="00C64789"/>
    <w:rPr>
      <w:rFonts w:ascii="Consolas" w:eastAsia="Calibri" w:hAnsi="Consolas" w:cs="Times New Roman"/>
      <w:b/>
      <w:iCs/>
      <w:color w:val="4070A0"/>
      <w:kern w:val="0"/>
      <w:sz w:val="24"/>
      <w:szCs w:val="24"/>
    </w:rPr>
  </w:style>
  <w:style w:type="character" w:customStyle="1" w:styleId="SpecialStringTok">
    <w:name w:val="SpecialStringTok"/>
    <w:basedOn w:val="VerbatimChar"/>
    <w:rsid w:val="00C64789"/>
    <w:rPr>
      <w:rFonts w:ascii="Consolas" w:eastAsia="Calibri" w:hAnsi="Consolas" w:cs="Times New Roman"/>
      <w:b/>
      <w:iCs/>
      <w:color w:val="BB6688"/>
      <w:kern w:val="0"/>
      <w:sz w:val="24"/>
      <w:szCs w:val="24"/>
    </w:rPr>
  </w:style>
  <w:style w:type="character" w:customStyle="1" w:styleId="ImportTok">
    <w:name w:val="ImportTok"/>
    <w:basedOn w:val="VerbatimChar"/>
    <w:rsid w:val="00C64789"/>
    <w:rPr>
      <w:rFonts w:ascii="Consolas" w:eastAsia="Calibri" w:hAnsi="Consolas" w:cs="Times New Roman"/>
      <w:b/>
      <w:iCs/>
      <w:color w:val="008000"/>
      <w:kern w:val="0"/>
      <w:sz w:val="24"/>
      <w:szCs w:val="24"/>
    </w:rPr>
  </w:style>
  <w:style w:type="character" w:customStyle="1" w:styleId="CommentTok">
    <w:name w:val="CommentTok"/>
    <w:basedOn w:val="VerbatimChar"/>
    <w:rsid w:val="00C64789"/>
    <w:rPr>
      <w:rFonts w:ascii="Consolas" w:eastAsia="Calibri" w:hAnsi="Consolas" w:cs="Times New Roman"/>
      <w:b/>
      <w:i/>
      <w:iCs/>
      <w:color w:val="60A0B0"/>
      <w:kern w:val="0"/>
      <w:sz w:val="24"/>
      <w:szCs w:val="24"/>
    </w:rPr>
  </w:style>
  <w:style w:type="character" w:customStyle="1" w:styleId="DocumentationTok">
    <w:name w:val="DocumentationTok"/>
    <w:basedOn w:val="VerbatimChar"/>
    <w:rsid w:val="00C64789"/>
    <w:rPr>
      <w:rFonts w:ascii="Consolas" w:eastAsia="Calibri" w:hAnsi="Consolas" w:cs="Times New Roman"/>
      <w:b/>
      <w:i/>
      <w:iCs/>
      <w:color w:val="BA2121"/>
      <w:kern w:val="0"/>
      <w:sz w:val="24"/>
      <w:szCs w:val="24"/>
    </w:rPr>
  </w:style>
  <w:style w:type="character" w:customStyle="1" w:styleId="AnnotationTok">
    <w:name w:val="AnnotationTok"/>
    <w:basedOn w:val="VerbatimChar"/>
    <w:rsid w:val="00C64789"/>
    <w:rPr>
      <w:rFonts w:ascii="Consolas" w:eastAsia="Calibri" w:hAnsi="Consolas" w:cs="Times New Roman"/>
      <w:b/>
      <w:i/>
      <w:iCs/>
      <w:color w:val="60A0B0"/>
      <w:kern w:val="0"/>
      <w:sz w:val="24"/>
      <w:szCs w:val="24"/>
    </w:rPr>
  </w:style>
  <w:style w:type="character" w:customStyle="1" w:styleId="CommentVarTok">
    <w:name w:val="CommentVarTok"/>
    <w:basedOn w:val="VerbatimChar"/>
    <w:rsid w:val="00C64789"/>
    <w:rPr>
      <w:rFonts w:ascii="Consolas" w:eastAsia="Calibri" w:hAnsi="Consolas" w:cs="Times New Roman"/>
      <w:b/>
      <w:i/>
      <w:iCs/>
      <w:color w:val="60A0B0"/>
      <w:kern w:val="0"/>
      <w:sz w:val="24"/>
      <w:szCs w:val="24"/>
    </w:rPr>
  </w:style>
  <w:style w:type="character" w:customStyle="1" w:styleId="OtherTok">
    <w:name w:val="OtherTok"/>
    <w:basedOn w:val="VerbatimChar"/>
    <w:rsid w:val="00C64789"/>
    <w:rPr>
      <w:rFonts w:ascii="Consolas" w:eastAsia="Calibri" w:hAnsi="Consolas" w:cs="Times New Roman"/>
      <w:b/>
      <w:iCs/>
      <w:color w:val="007020"/>
      <w:kern w:val="0"/>
      <w:sz w:val="24"/>
      <w:szCs w:val="24"/>
    </w:rPr>
  </w:style>
  <w:style w:type="character" w:customStyle="1" w:styleId="FunctionTok">
    <w:name w:val="FunctionTok"/>
    <w:basedOn w:val="VerbatimChar"/>
    <w:rsid w:val="00C64789"/>
    <w:rPr>
      <w:rFonts w:ascii="Consolas" w:eastAsia="Calibri" w:hAnsi="Consolas" w:cs="Times New Roman"/>
      <w:b/>
      <w:iCs/>
      <w:color w:val="06287E"/>
      <w:kern w:val="0"/>
      <w:sz w:val="24"/>
      <w:szCs w:val="24"/>
    </w:rPr>
  </w:style>
  <w:style w:type="character" w:customStyle="1" w:styleId="VariableTok">
    <w:name w:val="VariableTok"/>
    <w:basedOn w:val="VerbatimChar"/>
    <w:rsid w:val="00C64789"/>
    <w:rPr>
      <w:rFonts w:ascii="Consolas" w:eastAsia="Calibri" w:hAnsi="Consolas" w:cs="Times New Roman"/>
      <w:b/>
      <w:iCs/>
      <w:color w:val="19177C"/>
      <w:kern w:val="0"/>
      <w:sz w:val="24"/>
      <w:szCs w:val="24"/>
    </w:rPr>
  </w:style>
  <w:style w:type="character" w:customStyle="1" w:styleId="ControlFlowTok">
    <w:name w:val="ControlFlowTok"/>
    <w:basedOn w:val="VerbatimChar"/>
    <w:rsid w:val="00C64789"/>
    <w:rPr>
      <w:rFonts w:ascii="Consolas" w:eastAsia="Calibri" w:hAnsi="Consolas" w:cs="Times New Roman"/>
      <w:b/>
      <w:iCs/>
      <w:color w:val="007020"/>
      <w:kern w:val="0"/>
      <w:sz w:val="24"/>
      <w:szCs w:val="24"/>
    </w:rPr>
  </w:style>
  <w:style w:type="character" w:customStyle="1" w:styleId="OperatorTok">
    <w:name w:val="OperatorTok"/>
    <w:basedOn w:val="VerbatimChar"/>
    <w:rsid w:val="00C64789"/>
    <w:rPr>
      <w:rFonts w:ascii="Consolas" w:eastAsia="Calibri" w:hAnsi="Consolas" w:cs="Times New Roman"/>
      <w:b/>
      <w:iCs/>
      <w:color w:val="666666"/>
      <w:kern w:val="0"/>
      <w:sz w:val="24"/>
      <w:szCs w:val="24"/>
    </w:rPr>
  </w:style>
  <w:style w:type="character" w:customStyle="1" w:styleId="BuiltInTok">
    <w:name w:val="BuiltInTok"/>
    <w:basedOn w:val="VerbatimChar"/>
    <w:rsid w:val="00C64789"/>
    <w:rPr>
      <w:rFonts w:ascii="Consolas" w:eastAsia="Calibri" w:hAnsi="Consolas" w:cs="Times New Roman"/>
      <w:b/>
      <w:iCs/>
      <w:color w:val="008000"/>
      <w:kern w:val="0"/>
      <w:sz w:val="24"/>
      <w:szCs w:val="24"/>
    </w:rPr>
  </w:style>
  <w:style w:type="character" w:customStyle="1" w:styleId="ExtensionTok">
    <w:name w:val="ExtensionTok"/>
    <w:basedOn w:val="VerbatimChar"/>
    <w:rsid w:val="00C64789"/>
    <w:rPr>
      <w:rFonts w:ascii="Consolas" w:eastAsia="Calibri" w:hAnsi="Consolas" w:cs="Times New Roman"/>
      <w:b/>
      <w:iCs/>
      <w:kern w:val="0"/>
      <w:sz w:val="24"/>
      <w:szCs w:val="24"/>
    </w:rPr>
  </w:style>
  <w:style w:type="character" w:customStyle="1" w:styleId="PreprocessorTok">
    <w:name w:val="PreprocessorTok"/>
    <w:basedOn w:val="VerbatimChar"/>
    <w:rsid w:val="00C64789"/>
    <w:rPr>
      <w:rFonts w:ascii="Consolas" w:eastAsia="Calibri" w:hAnsi="Consolas" w:cs="Times New Roman"/>
      <w:b/>
      <w:iCs/>
      <w:color w:val="BC7A00"/>
      <w:kern w:val="0"/>
      <w:sz w:val="24"/>
      <w:szCs w:val="24"/>
    </w:rPr>
  </w:style>
  <w:style w:type="character" w:customStyle="1" w:styleId="AttributeTok">
    <w:name w:val="AttributeTok"/>
    <w:basedOn w:val="VerbatimChar"/>
    <w:rsid w:val="00C64789"/>
    <w:rPr>
      <w:rFonts w:ascii="Consolas" w:eastAsia="Calibri" w:hAnsi="Consolas" w:cs="Times New Roman"/>
      <w:b/>
      <w:iCs/>
      <w:color w:val="7D9029"/>
      <w:kern w:val="0"/>
      <w:sz w:val="24"/>
      <w:szCs w:val="24"/>
    </w:rPr>
  </w:style>
  <w:style w:type="character" w:customStyle="1" w:styleId="RegionMarkerTok">
    <w:name w:val="RegionMarkerTok"/>
    <w:basedOn w:val="VerbatimChar"/>
    <w:rsid w:val="00C64789"/>
    <w:rPr>
      <w:rFonts w:ascii="Consolas" w:eastAsia="Calibri" w:hAnsi="Consolas" w:cs="Times New Roman"/>
      <w:b/>
      <w:iCs/>
      <w:kern w:val="0"/>
      <w:sz w:val="24"/>
      <w:szCs w:val="24"/>
    </w:rPr>
  </w:style>
  <w:style w:type="character" w:customStyle="1" w:styleId="InformationTok">
    <w:name w:val="InformationTok"/>
    <w:basedOn w:val="VerbatimChar"/>
    <w:rsid w:val="00C64789"/>
    <w:rPr>
      <w:rFonts w:ascii="Consolas" w:eastAsia="Calibri" w:hAnsi="Consolas" w:cs="Times New Roman"/>
      <w:b/>
      <w:i/>
      <w:iCs/>
      <w:color w:val="60A0B0"/>
      <w:kern w:val="0"/>
      <w:sz w:val="24"/>
      <w:szCs w:val="24"/>
    </w:rPr>
  </w:style>
  <w:style w:type="character" w:customStyle="1" w:styleId="WarningTok">
    <w:name w:val="WarningTok"/>
    <w:basedOn w:val="VerbatimChar"/>
    <w:rsid w:val="00C64789"/>
    <w:rPr>
      <w:rFonts w:ascii="Consolas" w:eastAsia="Calibri" w:hAnsi="Consolas" w:cs="Times New Roman"/>
      <w:b/>
      <w:i/>
      <w:iCs/>
      <w:color w:val="60A0B0"/>
      <w:kern w:val="0"/>
      <w:sz w:val="24"/>
      <w:szCs w:val="24"/>
    </w:rPr>
  </w:style>
  <w:style w:type="character" w:customStyle="1" w:styleId="AlertTok">
    <w:name w:val="AlertTok"/>
    <w:basedOn w:val="VerbatimChar"/>
    <w:rsid w:val="00C64789"/>
    <w:rPr>
      <w:rFonts w:ascii="Consolas" w:eastAsia="Calibri" w:hAnsi="Consolas" w:cs="Times New Roman"/>
      <w:b/>
      <w:iCs/>
      <w:color w:val="FF0000"/>
      <w:kern w:val="0"/>
      <w:sz w:val="24"/>
      <w:szCs w:val="24"/>
    </w:rPr>
  </w:style>
  <w:style w:type="character" w:customStyle="1" w:styleId="ErrorTok">
    <w:name w:val="ErrorTok"/>
    <w:basedOn w:val="VerbatimChar"/>
    <w:rsid w:val="00C64789"/>
    <w:rPr>
      <w:rFonts w:ascii="Consolas" w:eastAsia="Calibri" w:hAnsi="Consolas" w:cs="Times New Roman"/>
      <w:b/>
      <w:iCs/>
      <w:color w:val="FF0000"/>
      <w:kern w:val="0"/>
      <w:sz w:val="24"/>
      <w:szCs w:val="24"/>
    </w:rPr>
  </w:style>
  <w:style w:type="character" w:customStyle="1" w:styleId="NormalTok">
    <w:name w:val="NormalTok"/>
    <w:basedOn w:val="VerbatimChar"/>
    <w:rsid w:val="00C64789"/>
    <w:rPr>
      <w:rFonts w:ascii="Consolas" w:eastAsia="Calibri" w:hAnsi="Consolas" w:cs="Times New Roman"/>
      <w:b/>
      <w:i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387799142">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7540396">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xxxxxx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NUL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F97D255D-5BC4-40B2-95F2-BFA330AC8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2371</Words>
  <Characters>13520</Characters>
  <Application>Microsoft Office Word</Application>
  <DocSecurity>0</DocSecurity>
  <Lines>112</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alok yadav</cp:lastModifiedBy>
  <cp:revision>6</cp:revision>
  <dcterms:created xsi:type="dcterms:W3CDTF">2026-09-21T11:34:00Z</dcterms:created>
  <dcterms:modified xsi:type="dcterms:W3CDTF">2026-09-22T21:54:00Z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