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0A6" w:rsidRPr="00CD20A6" w:rsidRDefault="00CD20A6" w:rsidP="005C122F">
      <w:pPr>
        <w:pStyle w:val="Heading1"/>
        <w:spacing w:before="0" w:after="240" w:line="240" w:lineRule="auto"/>
        <w:jc w:val="center"/>
        <w:rPr>
          <w:rFonts w:ascii="Times New Roman" w:hAnsi="Times New Roman" w:cs="Times New Roman"/>
          <w:b/>
          <w:bCs/>
          <w:color w:val="auto"/>
          <w:sz w:val="36"/>
          <w:szCs w:val="24"/>
        </w:rPr>
      </w:pPr>
      <w:bookmarkStart w:id="0" w:name="X40e8c24c856a6c664f0ba86b2dd1a7ee0e34ef6"/>
      <w:r w:rsidRPr="00CD20A6">
        <w:rPr>
          <w:rFonts w:ascii="Times New Roman" w:hAnsi="Times New Roman" w:cs="Times New Roman"/>
          <w:b/>
          <w:bCs/>
          <w:color w:val="auto"/>
          <w:sz w:val="36"/>
          <w:szCs w:val="24"/>
        </w:rPr>
        <w:t>Bounded Generation: Software Engineering Disciplines in the Era of Generative AI</w:t>
      </w:r>
      <w:bookmarkStart w:id="1" w:name="abstract"/>
    </w:p>
    <w:p w:rsidR="00CD20A6" w:rsidRPr="00CD20A6" w:rsidRDefault="00CD20A6" w:rsidP="005C122F">
      <w:pPr>
        <w:spacing w:after="240" w:line="240" w:lineRule="auto"/>
        <w:jc w:val="center"/>
        <w:rPr>
          <w:rFonts w:ascii="Times New Roman" w:hAnsi="Times New Roman"/>
          <w:b/>
          <w:sz w:val="24"/>
          <w:szCs w:val="24"/>
        </w:rPr>
      </w:pPr>
      <w:proofErr w:type="spellStart"/>
      <w:r w:rsidRPr="00CD20A6">
        <w:rPr>
          <w:rFonts w:ascii="Times New Roman" w:hAnsi="Times New Roman"/>
          <w:b/>
          <w:sz w:val="24"/>
          <w:szCs w:val="24"/>
        </w:rPr>
        <w:t>Rajendran</w:t>
      </w:r>
      <w:proofErr w:type="spellEnd"/>
      <w:r w:rsidRPr="00CD20A6">
        <w:rPr>
          <w:rFonts w:ascii="Times New Roman" w:hAnsi="Times New Roman"/>
          <w:b/>
          <w:sz w:val="24"/>
          <w:szCs w:val="24"/>
        </w:rPr>
        <w:t xml:space="preserve"> </w:t>
      </w:r>
      <w:proofErr w:type="spellStart"/>
      <w:r w:rsidRPr="00CD20A6">
        <w:rPr>
          <w:rFonts w:ascii="Times New Roman" w:hAnsi="Times New Roman"/>
          <w:b/>
          <w:sz w:val="24"/>
          <w:szCs w:val="24"/>
        </w:rPr>
        <w:t>Swamidurai</w:t>
      </w:r>
      <w:proofErr w:type="spellEnd"/>
      <w:r w:rsidRPr="00CD20A6">
        <w:rPr>
          <w:rFonts w:ascii="Times New Roman" w:hAnsi="Times New Roman"/>
          <w:b/>
          <w:sz w:val="24"/>
          <w:szCs w:val="24"/>
          <w:vertAlign w:val="superscript"/>
        </w:rPr>
        <w:t xml:space="preserve">* </w:t>
      </w:r>
      <w:r w:rsidRPr="00CD20A6">
        <w:rPr>
          <w:rFonts w:ascii="Times New Roman" w:hAnsi="Times New Roman"/>
          <w:b/>
          <w:sz w:val="24"/>
          <w:szCs w:val="24"/>
        </w:rPr>
        <w:t xml:space="preserve">and </w:t>
      </w:r>
      <w:proofErr w:type="spellStart"/>
      <w:r w:rsidRPr="00CD20A6">
        <w:rPr>
          <w:rFonts w:ascii="Times New Roman" w:hAnsi="Times New Roman"/>
          <w:b/>
          <w:sz w:val="24"/>
          <w:szCs w:val="24"/>
        </w:rPr>
        <w:t>Uma</w:t>
      </w:r>
      <w:proofErr w:type="spellEnd"/>
      <w:r w:rsidRPr="00CD20A6">
        <w:rPr>
          <w:rFonts w:ascii="Times New Roman" w:hAnsi="Times New Roman"/>
          <w:b/>
          <w:sz w:val="24"/>
          <w:szCs w:val="24"/>
        </w:rPr>
        <w:t xml:space="preserve"> </w:t>
      </w:r>
      <w:proofErr w:type="spellStart"/>
      <w:r w:rsidRPr="00CD20A6">
        <w:rPr>
          <w:rFonts w:ascii="Times New Roman" w:hAnsi="Times New Roman"/>
          <w:b/>
          <w:sz w:val="24"/>
          <w:szCs w:val="24"/>
        </w:rPr>
        <w:t>Kannan</w:t>
      </w:r>
      <w:proofErr w:type="spellEnd"/>
    </w:p>
    <w:p w:rsidR="00CD20A6" w:rsidRPr="00CD20A6" w:rsidRDefault="00CD20A6" w:rsidP="005C122F">
      <w:pPr>
        <w:spacing w:after="240" w:line="240" w:lineRule="auto"/>
        <w:jc w:val="center"/>
        <w:rPr>
          <w:rFonts w:ascii="Times New Roman" w:hAnsi="Times New Roman"/>
          <w:b/>
          <w:sz w:val="24"/>
          <w:szCs w:val="24"/>
        </w:rPr>
      </w:pPr>
      <w:r w:rsidRPr="00CD20A6">
        <w:rPr>
          <w:rFonts w:ascii="Times New Roman" w:hAnsi="Times New Roman"/>
          <w:b/>
          <w:sz w:val="24"/>
          <w:szCs w:val="24"/>
        </w:rPr>
        <w:t>Department of Mathematics and Computer Science, Alabama State University, Montgomery, AL, USA</w:t>
      </w:r>
    </w:p>
    <w:p w:rsidR="00CD20A6" w:rsidRPr="00CD20A6" w:rsidRDefault="00CD20A6" w:rsidP="005C122F">
      <w:pPr>
        <w:spacing w:after="240" w:line="240" w:lineRule="auto"/>
        <w:jc w:val="center"/>
        <w:rPr>
          <w:rFonts w:ascii="Times New Roman" w:hAnsi="Times New Roman"/>
          <w:b/>
          <w:sz w:val="24"/>
          <w:szCs w:val="24"/>
        </w:rPr>
      </w:pPr>
      <w:r w:rsidRPr="00CD20A6">
        <w:rPr>
          <w:rFonts w:ascii="Times New Roman" w:hAnsi="Times New Roman"/>
          <w:b/>
          <w:sz w:val="24"/>
          <w:szCs w:val="24"/>
          <w:vertAlign w:val="superscript"/>
        </w:rPr>
        <w:t>*</w:t>
      </w:r>
      <w:r w:rsidRPr="00CD20A6">
        <w:rPr>
          <w:rFonts w:ascii="Times New Roman" w:hAnsi="Times New Roman"/>
          <w:b/>
          <w:sz w:val="24"/>
          <w:szCs w:val="24"/>
        </w:rPr>
        <w:t>Corresponding Author</w:t>
      </w:r>
    </w:p>
    <w:p w:rsidR="005C122F" w:rsidRPr="00215696" w:rsidRDefault="005C122F" w:rsidP="005C122F">
      <w:pPr>
        <w:pStyle w:val="NoSpacing"/>
        <w:tabs>
          <w:tab w:val="center" w:pos="4988"/>
          <w:tab w:val="left" w:pos="10620"/>
        </w:tabs>
        <w:spacing w:after="240"/>
        <w:jc w:val="center"/>
        <w:rPr>
          <w:rFonts w:ascii="Times New Roman" w:hAnsi="Times New Roman" w:cs="Times New Roman"/>
          <w:b/>
          <w:color w:val="0070C0"/>
          <w:sz w:val="24"/>
          <w:szCs w:val="24"/>
          <w:u w:val="single"/>
        </w:rPr>
      </w:pPr>
      <w:r w:rsidRPr="00215696">
        <w:rPr>
          <w:rFonts w:ascii="Times New Roman" w:hAnsi="Times New Roman" w:cs="Times New Roman"/>
          <w:b/>
          <w:bCs/>
          <w:sz w:val="24"/>
          <w:szCs w:val="24"/>
        </w:rPr>
        <w:t xml:space="preserve">DOI: </w:t>
      </w:r>
      <w:hyperlink r:id="rId8" w:history="1">
        <w:r w:rsidR="0073009B">
          <w:rPr>
            <w:rStyle w:val="Hyperlink"/>
            <w:rFonts w:ascii="Times New Roman" w:hAnsi="Times New Roman" w:cs="Times New Roman"/>
            <w:b/>
            <w:color w:val="0070C0"/>
            <w:sz w:val="24"/>
            <w:szCs w:val="24"/>
          </w:rPr>
          <w:t>https://doi.org/10.68050/JAMS.2026.631</w:t>
        </w:r>
      </w:hyperlink>
    </w:p>
    <w:p w:rsidR="005C122F" w:rsidRPr="00215696" w:rsidRDefault="007703C7" w:rsidP="005C122F">
      <w:pPr>
        <w:spacing w:after="240" w:line="240" w:lineRule="auto"/>
        <w:jc w:val="center"/>
        <w:rPr>
          <w:rFonts w:ascii="Times New Roman" w:hAnsi="Times New Roman"/>
          <w:b/>
          <w:bCs/>
          <w:sz w:val="24"/>
          <w:szCs w:val="24"/>
        </w:rPr>
      </w:pPr>
      <w:r>
        <w:rPr>
          <w:rFonts w:ascii="Times New Roman" w:hAnsi="Times New Roman"/>
          <w:b/>
          <w:bCs/>
          <w:sz w:val="24"/>
          <w:szCs w:val="24"/>
        </w:rPr>
        <w:t>Received: 03</w:t>
      </w:r>
      <w:r w:rsidR="005C122F" w:rsidRPr="00215696">
        <w:rPr>
          <w:rFonts w:ascii="Times New Roman" w:hAnsi="Times New Roman"/>
          <w:b/>
          <w:bCs/>
          <w:sz w:val="24"/>
          <w:szCs w:val="24"/>
        </w:rPr>
        <w:t xml:space="preserve"> Sept 2026; Accepted: 07 Sept 2026; Published: </w:t>
      </w:r>
      <w:r w:rsidR="005C122F">
        <w:rPr>
          <w:rFonts w:ascii="Times New Roman" w:hAnsi="Times New Roman"/>
          <w:b/>
          <w:bCs/>
          <w:sz w:val="24"/>
          <w:szCs w:val="24"/>
        </w:rPr>
        <w:t>30</w:t>
      </w:r>
      <w:r w:rsidR="005C122F" w:rsidRPr="00215696">
        <w:rPr>
          <w:rFonts w:ascii="Times New Roman" w:hAnsi="Times New Roman"/>
          <w:b/>
          <w:bCs/>
          <w:sz w:val="24"/>
          <w:szCs w:val="24"/>
        </w:rPr>
        <w:t xml:space="preserve"> September 2026</w:t>
      </w:r>
    </w:p>
    <w:p w:rsidR="00CD20A6" w:rsidRPr="00CD20A6" w:rsidRDefault="00CD20A6" w:rsidP="00CD20A6">
      <w:pPr>
        <w:pStyle w:val="Heading2"/>
        <w:spacing w:before="0" w:after="240" w:line="240" w:lineRule="auto"/>
        <w:jc w:val="both"/>
        <w:rPr>
          <w:rFonts w:ascii="Times New Roman" w:hAnsi="Times New Roman" w:cs="Times New Roman"/>
          <w:b w:val="0"/>
          <w:bCs w:val="0"/>
          <w:color w:val="auto"/>
          <w:sz w:val="24"/>
          <w:szCs w:val="24"/>
        </w:rPr>
      </w:pPr>
      <w:r w:rsidRPr="00CD20A6">
        <w:rPr>
          <w:rFonts w:ascii="Times New Roman" w:hAnsi="Times New Roman" w:cs="Times New Roman"/>
          <w:color w:val="auto"/>
          <w:sz w:val="28"/>
          <w:szCs w:val="24"/>
        </w:rPr>
        <w:t>ABSTRACT</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The integration of Generative Artificial Intelligence (</w:t>
      </w:r>
      <w:proofErr w:type="spellStart"/>
      <w:r w:rsidRPr="00CD20A6">
        <w:rPr>
          <w:rFonts w:cs="Times New Roman"/>
          <w:sz w:val="24"/>
        </w:rPr>
        <w:t>GenAI</w:t>
      </w:r>
      <w:proofErr w:type="spellEnd"/>
      <w:r w:rsidRPr="00CD20A6">
        <w:rPr>
          <w:rFonts w:cs="Times New Roman"/>
          <w:sz w:val="24"/>
        </w:rPr>
        <w:t xml:space="preserve">) and Large Language Models (LLMs) into the software development life cycle has ignited a profound transformation in how code is authored, inspected, and maintained. Early industry narratives posited that automated code generation would render traditional software engineering methodologies obsolete by commoditizing implementation. However, emerging empirical studies, multi-year repository telemetry, and controlled trials demonstrate an opposing reality characterized by the Productivity-Reliability Paradox (PRP). </w:t>
      </w:r>
      <w:proofErr w:type="gramStart"/>
      <w:r w:rsidRPr="00CD20A6">
        <w:rPr>
          <w:rFonts w:cs="Times New Roman"/>
          <w:sz w:val="24"/>
        </w:rPr>
        <w:t>As generative agents lower the marginal cost of code creation to near zero, engineering organizations experience severe downstream friction: surging pull request volumes, escalating code churn, structural degradation, systemic comprehension debt, and software supply chain vulnerabilities such as package hallucinations.</w:t>
      </w:r>
      <w:proofErr w:type="gramEnd"/>
      <w:r w:rsidRPr="00CD20A6">
        <w:rPr>
          <w:rFonts w:cs="Times New Roman"/>
          <w:sz w:val="24"/>
        </w:rPr>
        <w:t xml:space="preserve"> This paper provides an empirical investigation into the operational efficacy of foundational software engineering disciplines within AI-assisted workflows. It establishes that Peer Code Review, Test-Driven Development (TDD), modular system architecture, and formal specification governance are not historical artifacts of manual programming. Instead, they represent indispensable cognitive and deterministic guardrails required to bound non-deterministic model outputs. Rather than diminishing in value, traditional software engineering rigors must expand to transform stochastic code generation into dependable, maintainable, and production-ready enterprise software.</w:t>
      </w:r>
    </w:p>
    <w:p w:rsidR="00CD20A6" w:rsidRPr="00CD20A6" w:rsidRDefault="00CD20A6" w:rsidP="00CD20A6">
      <w:pPr>
        <w:spacing w:after="240" w:line="240" w:lineRule="auto"/>
        <w:jc w:val="both"/>
        <w:rPr>
          <w:rFonts w:ascii="Times New Roman" w:hAnsi="Times New Roman"/>
          <w:sz w:val="24"/>
          <w:szCs w:val="24"/>
        </w:rPr>
      </w:pPr>
      <w:r w:rsidRPr="00CD20A6">
        <w:rPr>
          <w:rFonts w:ascii="Times New Roman" w:hAnsi="Times New Roman"/>
          <w:b/>
          <w:bCs/>
          <w:sz w:val="24"/>
          <w:szCs w:val="24"/>
        </w:rPr>
        <w:t xml:space="preserve">Keywords: </w:t>
      </w:r>
      <w:r w:rsidRPr="00CD20A6">
        <w:rPr>
          <w:rFonts w:ascii="Times New Roman" w:hAnsi="Times New Roman"/>
          <w:sz w:val="24"/>
          <w:szCs w:val="24"/>
        </w:rPr>
        <w:t>Generative Artificial Intelligence (</w:t>
      </w:r>
      <w:proofErr w:type="spellStart"/>
      <w:r w:rsidRPr="00CD20A6">
        <w:rPr>
          <w:rFonts w:ascii="Times New Roman" w:hAnsi="Times New Roman"/>
          <w:sz w:val="24"/>
          <w:szCs w:val="24"/>
        </w:rPr>
        <w:t>GenAI</w:t>
      </w:r>
      <w:proofErr w:type="spellEnd"/>
      <w:r w:rsidRPr="00CD20A6">
        <w:rPr>
          <w:rFonts w:ascii="Times New Roman" w:hAnsi="Times New Roman"/>
          <w:sz w:val="24"/>
          <w:szCs w:val="24"/>
        </w:rPr>
        <w:t>), Productivity-Reliability Paradox (PRP), Software Delivery Stability, Comprehension Debt, Code Churn, Peer Code Review, Automation Bias, Package Hallucination, Test-Driven Development (TDD), Specification-Driven Development (SDD).</w:t>
      </w:r>
      <w:bookmarkStart w:id="2" w:name="introduction"/>
      <w:bookmarkEnd w:id="1"/>
    </w:p>
    <w:p w:rsidR="00CD20A6" w:rsidRPr="00CD20A6" w:rsidRDefault="00CD20A6" w:rsidP="00CD20A6">
      <w:pPr>
        <w:pStyle w:val="Heading2"/>
        <w:spacing w:before="0" w:after="240" w:line="240" w:lineRule="auto"/>
        <w:jc w:val="both"/>
        <w:rPr>
          <w:rFonts w:ascii="Times New Roman" w:hAnsi="Times New Roman" w:cs="Times New Roman"/>
          <w:b w:val="0"/>
          <w:bCs w:val="0"/>
          <w:color w:val="auto"/>
          <w:sz w:val="28"/>
          <w:szCs w:val="24"/>
        </w:rPr>
      </w:pPr>
      <w:r w:rsidRPr="00CD20A6">
        <w:rPr>
          <w:rFonts w:ascii="Times New Roman" w:hAnsi="Times New Roman" w:cs="Times New Roman"/>
          <w:color w:val="auto"/>
          <w:sz w:val="28"/>
          <w:szCs w:val="24"/>
        </w:rPr>
        <w:t>1. INTRODUCTION</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 xml:space="preserve">The transition from deterministic syntax completion engines to non-deterministic, </w:t>
      </w:r>
      <w:proofErr w:type="spellStart"/>
      <w:r w:rsidRPr="00CD20A6">
        <w:rPr>
          <w:rFonts w:cs="Times New Roman"/>
          <w:sz w:val="24"/>
        </w:rPr>
        <w:t>agentic</w:t>
      </w:r>
      <w:proofErr w:type="spellEnd"/>
      <w:r w:rsidRPr="00CD20A6">
        <w:rPr>
          <w:rFonts w:cs="Times New Roman"/>
          <w:sz w:val="24"/>
        </w:rPr>
        <w:t xml:space="preserve"> Large Language Models has fundamentally altered the economics of software construction. By treating natural language prompts as implementation directives, modern generative coding environments enable developers to rapidly synthesize source code, boilerplates, and functional scripts at an unprecedented rate. In early evaluations, this drop in the marginal cost of writing code prompted widespread speculation that traditional software engineering methodologies—such as structured requirement decomposition, formal modularization, test-driven validation, and collaborative human peer review—had become superfluous overhead. The act of programming was increasingly framed merely as conversational prompt iteration, frequently labeled in industry parlance as “vibe coding”.</w:t>
      </w:r>
    </w:p>
    <w:p w:rsidR="00CD20A6" w:rsidRPr="00CD20A6" w:rsidRDefault="00CD20A6" w:rsidP="00CD20A6">
      <w:pPr>
        <w:pStyle w:val="BodyText"/>
        <w:spacing w:before="0" w:beforeAutospacing="0"/>
      </w:pPr>
      <w:r w:rsidRPr="00CD20A6">
        <w:t>However, this implementation-centric view fundamentally misunderstands the core objective of software engineering. Keystroke synthesis and basic implementation represent only a fractional subset (estimated between 10% and 20%) of the cumulative engineering effort required across a system’s operational lifecycle. The predominant challenges in industrial software engineering reside in system-level integration, state management, security mitigation, architectural consistency, and long-term asset maintainability. By accelerating syntax authoring without providing systemic verification, generative AI introduces an upstream bullwhip effect into the development lifecycle.</w:t>
      </w:r>
    </w:p>
    <w:p w:rsidR="00CD20A6" w:rsidRPr="00CD20A6" w:rsidRDefault="00CD20A6" w:rsidP="00CD20A6">
      <w:pPr>
        <w:pStyle w:val="BodyText"/>
        <w:spacing w:before="0" w:beforeAutospacing="0"/>
      </w:pPr>
      <w:r w:rsidRPr="00CD20A6">
        <w:lastRenderedPageBreak/>
        <w:t xml:space="preserve">Large language models generate source text </w:t>
      </w:r>
      <w:proofErr w:type="spellStart"/>
      <w:r w:rsidRPr="00CD20A6">
        <w:t>autoregressively</w:t>
      </w:r>
      <w:proofErr w:type="spellEnd"/>
      <w:r w:rsidRPr="00CD20A6">
        <w:t>, optimizing for statistical, token-level linguistic plausibility rather than global semantic invariants or formal system contracts. Consequently, while the synthesis phase is rendered trivial, verifying non-deterministic logic against unspoken domain constraints, business rules, and multi-file dependencies imposes an asymmetric cognitive burden on human engineers. This fundamental structural friction induces the Productivity-Reliability Paradox (PRP): localized bursts in syntax generation speed result in a downstream bottleneck characterized by reviewer exhaustion, exploding code churn, architectural calcification, and catastrophic software supply chain vulnerabilities.</w:t>
      </w:r>
    </w:p>
    <w:p w:rsidR="00CD20A6" w:rsidRPr="00CD20A6" w:rsidRDefault="00CD20A6" w:rsidP="00CD20A6">
      <w:pPr>
        <w:pStyle w:val="BodyText"/>
        <w:spacing w:before="0" w:beforeAutospacing="0"/>
      </w:pPr>
      <w:r w:rsidRPr="00CD20A6">
        <w:t>This paper provides a detailed empirical examination of codebase telemetry, controlled trials, and organizational workflows in AI-augmented software development. We demonstrate that far from being rendered obsolete, classical software engineering disciplines serve as the vital, deterministic bounding mechanisms required to constrain stochastic generative models. Specifically, this study explores:</w:t>
      </w:r>
    </w:p>
    <w:p w:rsidR="00CD20A6" w:rsidRPr="00CD20A6" w:rsidRDefault="00CD20A6" w:rsidP="00CD20A6">
      <w:pPr>
        <w:numPr>
          <w:ilvl w:val="0"/>
          <w:numId w:val="5"/>
        </w:numPr>
        <w:spacing w:after="240" w:line="240" w:lineRule="auto"/>
        <w:jc w:val="both"/>
        <w:rPr>
          <w:rFonts w:ascii="Times New Roman" w:hAnsi="Times New Roman"/>
          <w:sz w:val="24"/>
          <w:szCs w:val="24"/>
        </w:rPr>
      </w:pPr>
      <w:r w:rsidRPr="00CD20A6">
        <w:rPr>
          <w:rFonts w:ascii="Times New Roman" w:hAnsi="Times New Roman"/>
          <w:sz w:val="24"/>
          <w:szCs w:val="24"/>
        </w:rPr>
        <w:t>The empirical discrepancy between localized developer velocity and systemic software delivery throughput.</w:t>
      </w:r>
    </w:p>
    <w:p w:rsidR="00CD20A6" w:rsidRPr="00CD20A6" w:rsidRDefault="00CD20A6" w:rsidP="00CD20A6">
      <w:pPr>
        <w:numPr>
          <w:ilvl w:val="0"/>
          <w:numId w:val="5"/>
        </w:numPr>
        <w:spacing w:after="240" w:line="240" w:lineRule="auto"/>
        <w:jc w:val="both"/>
        <w:rPr>
          <w:rFonts w:ascii="Times New Roman" w:hAnsi="Times New Roman"/>
          <w:sz w:val="24"/>
          <w:szCs w:val="24"/>
        </w:rPr>
      </w:pPr>
      <w:r w:rsidRPr="00CD20A6">
        <w:rPr>
          <w:rFonts w:ascii="Times New Roman" w:hAnsi="Times New Roman"/>
          <w:sz w:val="24"/>
          <w:szCs w:val="24"/>
        </w:rPr>
        <w:t>The longitudinal mechanics of AI-induced codebase degradation, refactoring abandonment, and cognitive comprehension debt.</w:t>
      </w:r>
    </w:p>
    <w:p w:rsidR="00CD20A6" w:rsidRPr="00CD20A6" w:rsidRDefault="00CD20A6" w:rsidP="00CD20A6">
      <w:pPr>
        <w:numPr>
          <w:ilvl w:val="0"/>
          <w:numId w:val="5"/>
        </w:numPr>
        <w:spacing w:after="240" w:line="240" w:lineRule="auto"/>
        <w:jc w:val="both"/>
        <w:rPr>
          <w:rFonts w:ascii="Times New Roman" w:hAnsi="Times New Roman"/>
          <w:sz w:val="24"/>
          <w:szCs w:val="24"/>
        </w:rPr>
      </w:pPr>
      <w:r w:rsidRPr="00CD20A6">
        <w:rPr>
          <w:rFonts w:ascii="Times New Roman" w:hAnsi="Times New Roman"/>
          <w:sz w:val="24"/>
          <w:szCs w:val="24"/>
        </w:rPr>
        <w:t xml:space="preserve">The socio-technical vulnerabilities undermining modern code review, including automation bias, visual attention deficits, and </w:t>
      </w:r>
      <w:proofErr w:type="spellStart"/>
      <w:r w:rsidRPr="00CD20A6">
        <w:rPr>
          <w:rFonts w:ascii="Times New Roman" w:hAnsi="Times New Roman"/>
          <w:sz w:val="24"/>
          <w:szCs w:val="24"/>
        </w:rPr>
        <w:t>slopsquatting</w:t>
      </w:r>
      <w:proofErr w:type="spellEnd"/>
      <w:r w:rsidRPr="00CD20A6">
        <w:rPr>
          <w:rFonts w:ascii="Times New Roman" w:hAnsi="Times New Roman"/>
          <w:sz w:val="24"/>
          <w:szCs w:val="24"/>
        </w:rPr>
        <w:t xml:space="preserve"> supply chain attacks.</w:t>
      </w:r>
    </w:p>
    <w:p w:rsidR="00CD20A6" w:rsidRPr="00CD20A6" w:rsidRDefault="00CD20A6" w:rsidP="00CD20A6">
      <w:pPr>
        <w:numPr>
          <w:ilvl w:val="0"/>
          <w:numId w:val="5"/>
        </w:numPr>
        <w:spacing w:after="240" w:line="240" w:lineRule="auto"/>
        <w:jc w:val="both"/>
        <w:rPr>
          <w:rFonts w:ascii="Times New Roman" w:hAnsi="Times New Roman"/>
          <w:sz w:val="24"/>
          <w:szCs w:val="24"/>
        </w:rPr>
      </w:pPr>
      <w:r w:rsidRPr="00CD20A6">
        <w:rPr>
          <w:rFonts w:ascii="Times New Roman" w:hAnsi="Times New Roman"/>
          <w:sz w:val="24"/>
          <w:szCs w:val="24"/>
        </w:rPr>
        <w:t>The role of Test-Driven Development (TDD) as a mathematical, executable constraint harness bounding model generation spaces.</w:t>
      </w:r>
    </w:p>
    <w:p w:rsidR="00CD20A6" w:rsidRPr="00CD20A6" w:rsidRDefault="00CD20A6" w:rsidP="00CD20A6">
      <w:pPr>
        <w:numPr>
          <w:ilvl w:val="0"/>
          <w:numId w:val="5"/>
        </w:numPr>
        <w:spacing w:after="240" w:line="240" w:lineRule="auto"/>
        <w:jc w:val="both"/>
        <w:rPr>
          <w:rFonts w:ascii="Times New Roman" w:hAnsi="Times New Roman"/>
          <w:sz w:val="24"/>
          <w:szCs w:val="24"/>
        </w:rPr>
      </w:pPr>
      <w:r w:rsidRPr="00CD20A6">
        <w:rPr>
          <w:rFonts w:ascii="Times New Roman" w:hAnsi="Times New Roman"/>
          <w:sz w:val="24"/>
          <w:szCs w:val="24"/>
        </w:rPr>
        <w:t>The emergence of Specification-Driven Development (SDD) and architectural contracts as formal economic governance mechanisms in AI-native software ecosystems.</w:t>
      </w:r>
    </w:p>
    <w:p w:rsidR="00CD20A6" w:rsidRPr="00CD20A6" w:rsidRDefault="00CD20A6" w:rsidP="00CD20A6">
      <w:pPr>
        <w:pStyle w:val="Heading2"/>
        <w:spacing w:before="0" w:after="240" w:line="240" w:lineRule="auto"/>
        <w:jc w:val="both"/>
        <w:rPr>
          <w:rFonts w:ascii="Times New Roman" w:hAnsi="Times New Roman" w:cs="Times New Roman"/>
          <w:b w:val="0"/>
          <w:bCs w:val="0"/>
          <w:color w:val="auto"/>
          <w:sz w:val="28"/>
          <w:szCs w:val="24"/>
        </w:rPr>
      </w:pPr>
      <w:bookmarkStart w:id="3" w:name="X31aed877be57604f658134c2e6558346a485541"/>
      <w:bookmarkEnd w:id="2"/>
      <w:r w:rsidRPr="00CD20A6">
        <w:rPr>
          <w:rFonts w:ascii="Times New Roman" w:hAnsi="Times New Roman" w:cs="Times New Roman"/>
          <w:color w:val="auto"/>
          <w:sz w:val="28"/>
          <w:szCs w:val="24"/>
        </w:rPr>
        <w:t>2. THE EMPIRICAL REALITY OF GENERATIVE AI IN SOFTWARE CONSTRUCTION</w:t>
      </w:r>
      <w:bookmarkStart w:id="4" w:name="the-productivity-reliability-paradox"/>
    </w:p>
    <w:p w:rsidR="00CD20A6" w:rsidRPr="00CD20A6" w:rsidRDefault="00CD20A6" w:rsidP="00CD20A6">
      <w:pPr>
        <w:pStyle w:val="Heading3"/>
        <w:spacing w:before="0" w:beforeAutospacing="0" w:after="240"/>
        <w:rPr>
          <w:b w:val="0"/>
          <w:bCs/>
          <w:i/>
          <w:iCs/>
        </w:rPr>
      </w:pPr>
      <w:r w:rsidRPr="00CD20A6">
        <w:rPr>
          <w:bCs/>
          <w:i/>
          <w:iCs/>
        </w:rPr>
        <w:t>2.1. The Productivity-Reliability Paradox</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 xml:space="preserve">The widespread adoption of generative coding assistants—evolving from inline </w:t>
      </w:r>
      <w:proofErr w:type="spellStart"/>
      <w:r w:rsidRPr="00CD20A6">
        <w:rPr>
          <w:rFonts w:cs="Times New Roman"/>
          <w:sz w:val="24"/>
        </w:rPr>
        <w:t>autocomplete</w:t>
      </w:r>
      <w:proofErr w:type="spellEnd"/>
      <w:r w:rsidRPr="00CD20A6">
        <w:rPr>
          <w:rFonts w:cs="Times New Roman"/>
          <w:sz w:val="24"/>
        </w:rPr>
        <w:t xml:space="preserve"> engines to conversational reasoning models and autonomous </w:t>
      </w:r>
      <w:proofErr w:type="spellStart"/>
      <w:r w:rsidRPr="00CD20A6">
        <w:rPr>
          <w:rFonts w:cs="Times New Roman"/>
          <w:sz w:val="24"/>
        </w:rPr>
        <w:t>agentic</w:t>
      </w:r>
      <w:proofErr w:type="spellEnd"/>
      <w:r w:rsidRPr="00CD20A6">
        <w:rPr>
          <w:rFonts w:cs="Times New Roman"/>
          <w:sz w:val="24"/>
        </w:rPr>
        <w:t xml:space="preserve"> development environments—has created a notable empirical contradiction within empirical software engineering research (Becker et al., 2026). Early industry trials and synthetic evaluation benchmarks reported unprecedented acceleration in software authoring. Controlled laboratory experiments observed software engineers completing isolated, well-scoped programming tasks between 20% and 56% faster when leveraging AI assistants (</w:t>
      </w:r>
      <w:proofErr w:type="spellStart"/>
      <w:r w:rsidRPr="00CD20A6">
        <w:rPr>
          <w:rFonts w:cs="Times New Roman"/>
          <w:sz w:val="24"/>
        </w:rPr>
        <w:t>Peng</w:t>
      </w:r>
      <w:proofErr w:type="spellEnd"/>
      <w:r w:rsidRPr="00CD20A6">
        <w:rPr>
          <w:rFonts w:cs="Times New Roman"/>
          <w:sz w:val="24"/>
        </w:rPr>
        <w:t xml:space="preserve"> et al., 2023). Subsequent enterprise trials, including randomized controlled evaluations conducted at organizations such as Google, demonstrated task completion speedups averaging 21% (Becker et al., 2026).</w:t>
      </w:r>
    </w:p>
    <w:p w:rsidR="00CD20A6" w:rsidRPr="00CD20A6" w:rsidRDefault="00CD20A6" w:rsidP="00CD20A6">
      <w:pPr>
        <w:pStyle w:val="BodyText"/>
        <w:spacing w:before="0" w:beforeAutospacing="0"/>
      </w:pPr>
      <w:r w:rsidRPr="00CD20A6">
        <w:t xml:space="preserve">These localized velocity metrics, however, contrast sharply with rigorous, long-term empirical evaluations conducted within legacy enterprise codebases and complex multi-file environments. The randomized controlled trial conducted by the METR research group, which evaluated experienced open-source contributors working on realistic software maintenance issues, revealed that developers equipped with frontier AI tools were 19% slower than their unassisted peers, despite the participants anticipating a 24% speedup prior to the trial (Becker et al., 2026). Similarly, Google Cloud’s </w:t>
      </w:r>
      <w:proofErr w:type="spellStart"/>
      <w:r w:rsidRPr="00CD20A6">
        <w:t>DevOps</w:t>
      </w:r>
      <w:proofErr w:type="spellEnd"/>
      <w:r w:rsidRPr="00CD20A6">
        <w:t xml:space="preserve"> Research and Assessment (DORA) enterprise research identified that every 25% increase in generative AI adoption correlated with a 7.2% decrease in delivery stability (Becker et al., 2026).</w:t>
      </w:r>
    </w:p>
    <w:p w:rsidR="00CD20A6" w:rsidRPr="00CD20A6" w:rsidRDefault="00CD20A6" w:rsidP="00CD20A6">
      <w:pPr>
        <w:pStyle w:val="BodyText"/>
        <w:spacing w:before="0" w:beforeAutospacing="0"/>
      </w:pPr>
      <w:r w:rsidRPr="00CD20A6">
        <w:t xml:space="preserve">Table 1 summarizes key industry and academic studies evaluating AI code-generation tools across different environments. It contrasts initial </w:t>
      </w:r>
      <w:proofErr w:type="spellStart"/>
      <w:proofErr w:type="gramStart"/>
      <w:r w:rsidRPr="00CD20A6">
        <w:t>greenfield</w:t>
      </w:r>
      <w:proofErr w:type="spellEnd"/>
      <w:proofErr w:type="gramEnd"/>
      <w:r w:rsidRPr="00CD20A6">
        <w:t xml:space="preserve"> developer speedups with downstream system impacts, including net resolution slowdowns in full repositories, software delivery instability, elevated defect rates, and review bottlenecks.</w:t>
      </w:r>
    </w:p>
    <w:p w:rsidR="00CD20A6" w:rsidRPr="00CD20A6" w:rsidRDefault="00CD20A6" w:rsidP="00CD20A6">
      <w:pPr>
        <w:pStyle w:val="BodyText"/>
        <w:spacing w:before="0" w:beforeAutospacing="0"/>
      </w:pPr>
      <w:r w:rsidRPr="00CD20A6">
        <w:rPr>
          <w:b/>
          <w:bCs/>
        </w:rPr>
        <w:lastRenderedPageBreak/>
        <w:t>Table 1:</w:t>
      </w:r>
      <w:r w:rsidRPr="00CD20A6">
        <w:t xml:space="preserve"> Empirical Investigations of Generative AI Velocity versus Long-Term System Reliability</w:t>
      </w:r>
    </w:p>
    <w:tbl>
      <w:tblPr>
        <w:tblW w:w="1003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95"/>
        <w:gridCol w:w="3083"/>
        <w:gridCol w:w="2048"/>
        <w:gridCol w:w="3013"/>
      </w:tblGrid>
      <w:tr w:rsidR="00CD20A6" w:rsidRPr="00CD20A6" w:rsidTr="00CD20A6">
        <w:trPr>
          <w:trHeight w:val="330"/>
        </w:trPr>
        <w:tc>
          <w:tcPr>
            <w:tcW w:w="1895" w:type="dxa"/>
            <w:shd w:val="clear" w:color="auto" w:fill="auto"/>
            <w:noWrap/>
            <w:hideMark/>
          </w:tcPr>
          <w:p w:rsidR="00CD20A6" w:rsidRPr="00CD20A6" w:rsidRDefault="00CD20A6" w:rsidP="00CD20A6">
            <w:pPr>
              <w:spacing w:after="24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Empirical Study</w:t>
            </w:r>
          </w:p>
        </w:tc>
        <w:tc>
          <w:tcPr>
            <w:tcW w:w="3083" w:type="dxa"/>
            <w:shd w:val="clear" w:color="auto" w:fill="auto"/>
            <w:noWrap/>
            <w:hideMark/>
          </w:tcPr>
          <w:p w:rsidR="00CD20A6" w:rsidRPr="00CD20A6" w:rsidRDefault="00CD20A6" w:rsidP="00CD20A6">
            <w:pPr>
              <w:spacing w:after="24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Methodology &amp; Sample Size</w:t>
            </w:r>
          </w:p>
        </w:tc>
        <w:tc>
          <w:tcPr>
            <w:tcW w:w="2048" w:type="dxa"/>
            <w:shd w:val="clear" w:color="auto" w:fill="auto"/>
            <w:noWrap/>
            <w:hideMark/>
          </w:tcPr>
          <w:p w:rsidR="00CD20A6" w:rsidRPr="00CD20A6" w:rsidRDefault="00CD20A6" w:rsidP="00CD20A6">
            <w:pPr>
              <w:spacing w:after="24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Measured Velocity Impact</w:t>
            </w:r>
          </w:p>
        </w:tc>
        <w:tc>
          <w:tcPr>
            <w:tcW w:w="3013" w:type="dxa"/>
            <w:shd w:val="clear" w:color="auto" w:fill="auto"/>
            <w:noWrap/>
            <w:hideMark/>
          </w:tcPr>
          <w:p w:rsidR="00CD20A6" w:rsidRPr="00CD20A6" w:rsidRDefault="00CD20A6" w:rsidP="00CD20A6">
            <w:pPr>
              <w:spacing w:after="24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Measured Reliability &amp; Delivery Impact</w:t>
            </w:r>
          </w:p>
        </w:tc>
      </w:tr>
      <w:tr w:rsidR="00CD20A6" w:rsidRPr="00CD20A6" w:rsidTr="00CD20A6">
        <w:trPr>
          <w:trHeight w:val="330"/>
        </w:trPr>
        <w:tc>
          <w:tcPr>
            <w:tcW w:w="1895"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proofErr w:type="spellStart"/>
            <w:r w:rsidRPr="00CD20A6">
              <w:rPr>
                <w:rFonts w:ascii="Times New Roman" w:eastAsia="Times New Roman" w:hAnsi="Times New Roman"/>
                <w:color w:val="000000"/>
                <w:sz w:val="24"/>
                <w:szCs w:val="24"/>
              </w:rPr>
              <w:t>Peng</w:t>
            </w:r>
            <w:proofErr w:type="spellEnd"/>
            <w:r w:rsidRPr="00CD20A6">
              <w:rPr>
                <w:rFonts w:ascii="Times New Roman" w:eastAsia="Times New Roman" w:hAnsi="Times New Roman"/>
                <w:color w:val="000000"/>
                <w:sz w:val="24"/>
                <w:szCs w:val="24"/>
              </w:rPr>
              <w:t xml:space="preserve"> et al. (</w:t>
            </w:r>
            <w:proofErr w:type="spellStart"/>
            <w:r w:rsidRPr="00CD20A6">
              <w:rPr>
                <w:rFonts w:ascii="Times New Roman" w:eastAsia="Times New Roman" w:hAnsi="Times New Roman"/>
                <w:color w:val="000000"/>
                <w:sz w:val="24"/>
                <w:szCs w:val="24"/>
              </w:rPr>
              <w:t>GitHub</w:t>
            </w:r>
            <w:proofErr w:type="spellEnd"/>
            <w:r w:rsidRPr="00CD20A6">
              <w:rPr>
                <w:rFonts w:ascii="Times New Roman" w:eastAsia="Times New Roman" w:hAnsi="Times New Roman"/>
                <w:color w:val="000000"/>
                <w:sz w:val="24"/>
                <w:szCs w:val="24"/>
              </w:rPr>
              <w:t xml:space="preserve"> / Microsoft)</w:t>
            </w:r>
          </w:p>
        </w:tc>
        <w:tc>
          <w:tcPr>
            <w:tcW w:w="3083"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Controlled trial; N = 95 professional developers implementing an HTTP web server </w:t>
            </w:r>
          </w:p>
        </w:tc>
        <w:tc>
          <w:tcPr>
            <w:tcW w:w="2048"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55.8% reduction in task completion time </w:t>
            </w:r>
          </w:p>
        </w:tc>
        <w:tc>
          <w:tcPr>
            <w:tcW w:w="3013"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Confined to isolated </w:t>
            </w:r>
            <w:proofErr w:type="spellStart"/>
            <w:r w:rsidRPr="00CD20A6">
              <w:rPr>
                <w:rFonts w:ascii="Times New Roman" w:eastAsia="Times New Roman" w:hAnsi="Times New Roman"/>
                <w:color w:val="000000"/>
                <w:sz w:val="24"/>
                <w:szCs w:val="24"/>
              </w:rPr>
              <w:t>greenfield</w:t>
            </w:r>
            <w:proofErr w:type="spellEnd"/>
            <w:r w:rsidRPr="00CD20A6">
              <w:rPr>
                <w:rFonts w:ascii="Times New Roman" w:eastAsia="Times New Roman" w:hAnsi="Times New Roman"/>
                <w:color w:val="000000"/>
                <w:sz w:val="24"/>
                <w:szCs w:val="24"/>
              </w:rPr>
              <w:t xml:space="preserve"> code; lifecycle defect density not measured </w:t>
            </w:r>
          </w:p>
        </w:tc>
      </w:tr>
      <w:tr w:rsidR="00CD20A6" w:rsidRPr="00CD20A6" w:rsidTr="00CD20A6">
        <w:trPr>
          <w:trHeight w:val="330"/>
        </w:trPr>
        <w:tc>
          <w:tcPr>
            <w:tcW w:w="1895"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METR RCT (Becker et al.)</w:t>
            </w:r>
          </w:p>
        </w:tc>
        <w:tc>
          <w:tcPr>
            <w:tcW w:w="3083"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Randomized controlled trial with experienced contributors on real-world repositories </w:t>
            </w:r>
          </w:p>
        </w:tc>
        <w:tc>
          <w:tcPr>
            <w:tcW w:w="2048"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19% net slowdown in issue resolution time </w:t>
            </w:r>
          </w:p>
        </w:tc>
        <w:tc>
          <w:tcPr>
            <w:tcW w:w="3013"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Prohibitive verification overhead; inability to reconcile multi-file dependencies </w:t>
            </w:r>
          </w:p>
        </w:tc>
      </w:tr>
      <w:tr w:rsidR="00CD20A6" w:rsidRPr="00CD20A6" w:rsidTr="00CD20A6">
        <w:trPr>
          <w:trHeight w:val="330"/>
        </w:trPr>
        <w:tc>
          <w:tcPr>
            <w:tcW w:w="1895"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Google Cloud DORA Study</w:t>
            </w:r>
          </w:p>
        </w:tc>
        <w:tc>
          <w:tcPr>
            <w:tcW w:w="3083"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Longitudinal enterprise </w:t>
            </w:r>
            <w:proofErr w:type="spellStart"/>
            <w:r w:rsidRPr="00CD20A6">
              <w:rPr>
                <w:rFonts w:ascii="Times New Roman" w:eastAsia="Times New Roman" w:hAnsi="Times New Roman"/>
                <w:color w:val="000000"/>
                <w:sz w:val="24"/>
                <w:szCs w:val="24"/>
              </w:rPr>
              <w:t>DevOps</w:t>
            </w:r>
            <w:proofErr w:type="spellEnd"/>
            <w:r w:rsidRPr="00CD20A6">
              <w:rPr>
                <w:rFonts w:ascii="Times New Roman" w:eastAsia="Times New Roman" w:hAnsi="Times New Roman"/>
                <w:color w:val="000000"/>
                <w:sz w:val="24"/>
                <w:szCs w:val="24"/>
              </w:rPr>
              <w:t xml:space="preserve"> survey and delivery performance analysis </w:t>
            </w:r>
          </w:p>
        </w:tc>
        <w:tc>
          <w:tcPr>
            <w:tcW w:w="2048"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Acceleration in initial PR authoring volume </w:t>
            </w:r>
          </w:p>
        </w:tc>
        <w:tc>
          <w:tcPr>
            <w:tcW w:w="3013"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7.2% drop in software delivery stability per 25% increase in </w:t>
            </w:r>
            <w:proofErr w:type="spellStart"/>
            <w:r w:rsidRPr="00CD20A6">
              <w:rPr>
                <w:rFonts w:ascii="Times New Roman" w:eastAsia="Times New Roman" w:hAnsi="Times New Roman"/>
                <w:color w:val="000000"/>
                <w:sz w:val="24"/>
                <w:szCs w:val="24"/>
              </w:rPr>
              <w:t>GenAI</w:t>
            </w:r>
            <w:proofErr w:type="spellEnd"/>
            <w:r w:rsidRPr="00CD20A6">
              <w:rPr>
                <w:rFonts w:ascii="Times New Roman" w:eastAsia="Times New Roman" w:hAnsi="Times New Roman"/>
                <w:color w:val="000000"/>
                <w:sz w:val="24"/>
                <w:szCs w:val="24"/>
              </w:rPr>
              <w:t xml:space="preserve"> adoption </w:t>
            </w:r>
          </w:p>
        </w:tc>
      </w:tr>
      <w:tr w:rsidR="00CD20A6" w:rsidRPr="00CD20A6" w:rsidTr="00CD20A6">
        <w:trPr>
          <w:trHeight w:val="330"/>
        </w:trPr>
        <w:tc>
          <w:tcPr>
            <w:tcW w:w="1895"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proofErr w:type="spellStart"/>
            <w:r w:rsidRPr="00CD20A6">
              <w:rPr>
                <w:rFonts w:ascii="Times New Roman" w:eastAsia="Times New Roman" w:hAnsi="Times New Roman"/>
                <w:color w:val="000000"/>
                <w:sz w:val="24"/>
                <w:szCs w:val="24"/>
              </w:rPr>
              <w:t>GitClear</w:t>
            </w:r>
            <w:proofErr w:type="spellEnd"/>
            <w:r w:rsidRPr="00CD20A6">
              <w:rPr>
                <w:rFonts w:ascii="Times New Roman" w:eastAsia="Times New Roman" w:hAnsi="Times New Roman"/>
                <w:color w:val="000000"/>
                <w:sz w:val="24"/>
                <w:szCs w:val="24"/>
              </w:rPr>
              <w:t xml:space="preserve"> Multi-Year Audit</w:t>
            </w:r>
          </w:p>
        </w:tc>
        <w:tc>
          <w:tcPr>
            <w:tcW w:w="3083"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Longitudinal mining of 153M–623M changed lines across global </w:t>
            </w:r>
            <w:proofErr w:type="spellStart"/>
            <w:r w:rsidRPr="00CD20A6">
              <w:rPr>
                <w:rFonts w:ascii="Times New Roman" w:eastAsia="Times New Roman" w:hAnsi="Times New Roman"/>
                <w:color w:val="000000"/>
                <w:sz w:val="24"/>
                <w:szCs w:val="24"/>
              </w:rPr>
              <w:t>git</w:t>
            </w:r>
            <w:proofErr w:type="spellEnd"/>
            <w:r w:rsidRPr="00CD20A6">
              <w:rPr>
                <w:rFonts w:ascii="Times New Roman" w:eastAsia="Times New Roman" w:hAnsi="Times New Roman"/>
                <w:color w:val="000000"/>
                <w:sz w:val="24"/>
                <w:szCs w:val="24"/>
              </w:rPr>
              <w:t xml:space="preserve"> repositories </w:t>
            </w:r>
          </w:p>
        </w:tc>
        <w:tc>
          <w:tcPr>
            <w:tcW w:w="2048"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Massive inflation of raw committed lines and PR counts </w:t>
            </w:r>
          </w:p>
        </w:tc>
        <w:tc>
          <w:tcPr>
            <w:tcW w:w="3013"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Short-term code churn doubled; structural refactoring collapsed from 21% to 3.8% </w:t>
            </w:r>
          </w:p>
        </w:tc>
      </w:tr>
      <w:tr w:rsidR="00CD20A6" w:rsidRPr="00CD20A6" w:rsidTr="00CD20A6">
        <w:trPr>
          <w:trHeight w:val="330"/>
        </w:trPr>
        <w:tc>
          <w:tcPr>
            <w:tcW w:w="1895"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proofErr w:type="spellStart"/>
            <w:r w:rsidRPr="00CD20A6">
              <w:rPr>
                <w:rFonts w:ascii="Times New Roman" w:eastAsia="Times New Roman" w:hAnsi="Times New Roman"/>
                <w:color w:val="000000"/>
                <w:sz w:val="24"/>
                <w:szCs w:val="24"/>
              </w:rPr>
              <w:t>Farrag</w:t>
            </w:r>
            <w:proofErr w:type="spellEnd"/>
            <w:r w:rsidRPr="00CD20A6">
              <w:rPr>
                <w:rFonts w:ascii="Times New Roman" w:eastAsia="Times New Roman" w:hAnsi="Times New Roman"/>
                <w:color w:val="000000"/>
                <w:sz w:val="24"/>
                <w:szCs w:val="24"/>
              </w:rPr>
              <w:t xml:space="preserve"> Multi-Vocal SLR</w:t>
            </w:r>
          </w:p>
        </w:tc>
        <w:tc>
          <w:tcPr>
            <w:tcW w:w="3083"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Systematic review of 67 studies covering 10,000+ software engineers </w:t>
            </w:r>
          </w:p>
        </w:tc>
        <w:tc>
          <w:tcPr>
            <w:tcW w:w="2048"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98% surge in submitted pull request volume </w:t>
            </w:r>
          </w:p>
        </w:tc>
        <w:tc>
          <w:tcPr>
            <w:tcW w:w="3013"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91% increase in code review duration; aggregate delivery throughput remained flat </w:t>
            </w:r>
          </w:p>
        </w:tc>
      </w:tr>
      <w:tr w:rsidR="00CD20A6" w:rsidRPr="00CD20A6" w:rsidTr="00CD20A6">
        <w:trPr>
          <w:trHeight w:val="330"/>
        </w:trPr>
        <w:tc>
          <w:tcPr>
            <w:tcW w:w="1895"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Stanford CCS Study (Perry et al.)</w:t>
            </w:r>
          </w:p>
        </w:tc>
        <w:tc>
          <w:tcPr>
            <w:tcW w:w="3083"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Controlled security task evaluation across Python, JavaScript, and C ecosystems </w:t>
            </w:r>
          </w:p>
        </w:tc>
        <w:tc>
          <w:tcPr>
            <w:tcW w:w="2048"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Rapid initial generation of security-critical code </w:t>
            </w:r>
          </w:p>
        </w:tc>
        <w:tc>
          <w:tcPr>
            <w:tcW w:w="3013" w:type="dxa"/>
            <w:shd w:val="clear" w:color="auto" w:fill="auto"/>
            <w:noWrap/>
            <w:hideMark/>
          </w:tcPr>
          <w:p w:rsidR="00CD20A6" w:rsidRPr="00CD20A6" w:rsidRDefault="00CD20A6" w:rsidP="00CD20A6">
            <w:pPr>
              <w:spacing w:after="24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Significant spike in critical vulnerabilities; elevated developer overconfidence </w:t>
            </w:r>
          </w:p>
        </w:tc>
      </w:tr>
    </w:tbl>
    <w:p w:rsidR="00CD20A6" w:rsidRPr="00CD20A6" w:rsidRDefault="00CD20A6" w:rsidP="00CD20A6">
      <w:pPr>
        <w:pStyle w:val="BodyText"/>
        <w:spacing w:before="240" w:beforeAutospacing="0"/>
      </w:pPr>
      <w:r w:rsidRPr="00CD20A6">
        <w:t>This fundamental tension is defined in software engineering literature as the Productivity-Reliability Paradox (PRP) (</w:t>
      </w:r>
      <w:proofErr w:type="spellStart"/>
      <w:r w:rsidRPr="00CD20A6">
        <w:t>Farrag</w:t>
      </w:r>
      <w:proofErr w:type="spellEnd"/>
      <w:r w:rsidRPr="00CD20A6">
        <w:t>, 2026). The paradox arises because autoregressive large language models optimize for token-level linguistic plausibility rather than global semantic correctness. While generating code requires negligible effort, verifying non-deterministic logic against tacit business constraints imposes an asymmetric cognitive burden on human engineers. Telemetry spanning over 10,000 professional developers indicates that while development teams generated 98% more pull requests following AI adoption, review durations expanded by 91%, leaving net delivery throughput flat (</w:t>
      </w:r>
      <w:proofErr w:type="spellStart"/>
      <w:r w:rsidRPr="00CD20A6">
        <w:t>Farrag</w:t>
      </w:r>
      <w:proofErr w:type="spellEnd"/>
      <w:r w:rsidRPr="00CD20A6">
        <w:t>, 2026).</w:t>
      </w:r>
    </w:p>
    <w:p w:rsidR="00CD20A6" w:rsidRPr="00CD20A6" w:rsidRDefault="00CD20A6" w:rsidP="00CD20A6">
      <w:pPr>
        <w:pStyle w:val="BodyText"/>
        <w:spacing w:before="0" w:beforeAutospacing="0"/>
      </w:pPr>
      <w:r w:rsidRPr="00CD20A6">
        <w:t>This friction has driven a pronounced adoption-trust divergence across the technology sector: developer surveys indicate that while AI tool adoption has risen to 84%, professional trust in the correctness of generated outputs has declined to 29–33%, with 66% of surveyed practitioners reporting that debugging subtly incorrect generated logic constitutes their single largest operational inefficiency (</w:t>
      </w:r>
      <w:proofErr w:type="spellStart"/>
      <w:r w:rsidRPr="00CD20A6">
        <w:t>Peng</w:t>
      </w:r>
      <w:proofErr w:type="spellEnd"/>
      <w:r w:rsidRPr="00CD20A6">
        <w:t xml:space="preserve"> et al., 2023; </w:t>
      </w:r>
      <w:proofErr w:type="spellStart"/>
      <w:r w:rsidRPr="00CD20A6">
        <w:t>Farrag</w:t>
      </w:r>
      <w:proofErr w:type="spellEnd"/>
      <w:r w:rsidRPr="00CD20A6">
        <w:t>, 2026).</w:t>
      </w:r>
      <w:bookmarkStart w:id="5" w:name="Xbdc559fc2d6a9e0eabc3c68146c237135b64d88"/>
      <w:bookmarkEnd w:id="4"/>
    </w:p>
    <w:p w:rsidR="00CD20A6" w:rsidRPr="00CD20A6" w:rsidRDefault="00CD20A6" w:rsidP="00CD20A6">
      <w:pPr>
        <w:pStyle w:val="BodyText"/>
        <w:spacing w:before="0" w:beforeAutospacing="0"/>
      </w:pPr>
      <w:r w:rsidRPr="00CD20A6">
        <w:t>Figure 1 illustrates the system-level bottleneck caused by generative AI across the delivery pipeline. It maps how lowering the marginal cost of code authoring floods pull request queues (+98% volume), creating severe verification fatigue and review delays (+91% duration) that ultimately translate into a 7.2% decline in deployment stability and elevated short-term churn.</w:t>
      </w:r>
    </w:p>
    <w:p w:rsidR="00CD20A6" w:rsidRPr="00CD20A6" w:rsidRDefault="00CD20A6" w:rsidP="00CD20A6">
      <w:pPr>
        <w:pStyle w:val="BodyText"/>
        <w:spacing w:before="0" w:beforeAutospacing="0"/>
      </w:pPr>
    </w:p>
    <w:p w:rsidR="00CD20A6" w:rsidRPr="00CD20A6" w:rsidRDefault="00CD20A6" w:rsidP="00CD20A6">
      <w:pPr>
        <w:pStyle w:val="BodyText"/>
        <w:spacing w:before="0" w:beforeAutospacing="0"/>
      </w:pPr>
      <w:r w:rsidRPr="00CD20A6">
        <w:rPr>
          <w:noProof/>
          <w:lang w:bidi="hi-IN"/>
        </w:rPr>
        <w:lastRenderedPageBreak/>
        <w:drawing>
          <wp:inline distT="0" distB="0" distL="0" distR="0">
            <wp:extent cx="5942673" cy="1923803"/>
            <wp:effectExtent l="19050" t="0" r="927" b="0"/>
            <wp:docPr id="724635658"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635658" name="Picture 1" descr="A diagram of a diagram&#10;&#10;Description automatically generated"/>
                    <pic:cNvPicPr/>
                  </pic:nvPicPr>
                  <pic:blipFill>
                    <a:blip r:embed="rId9" cstate="print"/>
                    <a:stretch>
                      <a:fillRect/>
                    </a:stretch>
                  </pic:blipFill>
                  <pic:spPr>
                    <a:xfrm>
                      <a:off x="0" y="0"/>
                      <a:ext cx="5943600" cy="1924103"/>
                    </a:xfrm>
                    <a:prstGeom prst="rect">
                      <a:avLst/>
                    </a:prstGeom>
                  </pic:spPr>
                </pic:pic>
              </a:graphicData>
            </a:graphic>
          </wp:inline>
        </w:drawing>
      </w:r>
    </w:p>
    <w:p w:rsidR="00CD20A6" w:rsidRPr="00CD20A6" w:rsidRDefault="00CD20A6" w:rsidP="00CD20A6">
      <w:pPr>
        <w:pStyle w:val="BodyText"/>
        <w:spacing w:before="0" w:beforeAutospacing="0"/>
      </w:pPr>
      <w:r w:rsidRPr="00CD20A6">
        <w:rPr>
          <w:b/>
          <w:bCs/>
        </w:rPr>
        <w:t>Figure 1:</w:t>
      </w:r>
      <w:r w:rsidRPr="00CD20A6">
        <w:t xml:space="preserve"> The Productivity-Reliability Paradox &amp; Upstream Bullwhip Effect.</w:t>
      </w:r>
    </w:p>
    <w:p w:rsidR="00CD20A6" w:rsidRPr="00CD20A6" w:rsidRDefault="00CD20A6" w:rsidP="00CD20A6">
      <w:pPr>
        <w:pStyle w:val="Heading3"/>
        <w:spacing w:before="0" w:beforeAutospacing="0" w:after="240"/>
        <w:rPr>
          <w:b w:val="0"/>
          <w:bCs/>
          <w:i/>
          <w:iCs/>
        </w:rPr>
      </w:pPr>
      <w:r w:rsidRPr="00CD20A6">
        <w:rPr>
          <w:bCs/>
          <w:i/>
          <w:iCs/>
        </w:rPr>
        <w:t xml:space="preserve">2.2. Divergence </w:t>
      </w:r>
      <w:proofErr w:type="gramStart"/>
      <w:r w:rsidRPr="00CD20A6">
        <w:rPr>
          <w:bCs/>
          <w:i/>
          <w:iCs/>
        </w:rPr>
        <w:t>Between</w:t>
      </w:r>
      <w:proofErr w:type="gramEnd"/>
      <w:r w:rsidRPr="00CD20A6">
        <w:rPr>
          <w:bCs/>
          <w:i/>
          <w:iCs/>
        </w:rPr>
        <w:t xml:space="preserve"> Local Velocity and System-Level Delivery</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The root cause of the Productivity-Reliability Paradox lies in the conceptual conflation of authoring speed with software engineering delivery. Software engineering is fundamentally an organizational and socio-technical discipline centered on domain modeling, requirement disambiguation, interface design, security threat mitigation, and long-term asset maintenance (</w:t>
      </w:r>
      <w:proofErr w:type="spellStart"/>
      <w:r w:rsidRPr="00CD20A6">
        <w:rPr>
          <w:rFonts w:cs="Times New Roman"/>
          <w:sz w:val="24"/>
        </w:rPr>
        <w:t>Farrag</w:t>
      </w:r>
      <w:proofErr w:type="spellEnd"/>
      <w:r w:rsidRPr="00CD20A6">
        <w:rPr>
          <w:rFonts w:cs="Times New Roman"/>
          <w:sz w:val="24"/>
        </w:rPr>
        <w:t xml:space="preserve">, 2026; Open </w:t>
      </w:r>
      <w:proofErr w:type="spellStart"/>
      <w:r w:rsidRPr="00CD20A6">
        <w:rPr>
          <w:rFonts w:cs="Times New Roman"/>
          <w:sz w:val="24"/>
        </w:rPr>
        <w:t>Mercato</w:t>
      </w:r>
      <w:proofErr w:type="spellEnd"/>
      <w:r w:rsidRPr="00CD20A6">
        <w:rPr>
          <w:rFonts w:cs="Times New Roman"/>
          <w:sz w:val="24"/>
        </w:rPr>
        <w:t>, 2026). Keystroke synthesis and basic implementation represent only 10% to 20% of aggregate developer effort throughout the lifecycle of a software system (</w:t>
      </w:r>
      <w:proofErr w:type="spellStart"/>
      <w:r w:rsidRPr="00CD20A6">
        <w:rPr>
          <w:rFonts w:cs="Times New Roman"/>
          <w:sz w:val="24"/>
        </w:rPr>
        <w:t>Gaurav</w:t>
      </w:r>
      <w:proofErr w:type="spellEnd"/>
      <w:r w:rsidRPr="00CD20A6">
        <w:rPr>
          <w:rFonts w:cs="Times New Roman"/>
          <w:sz w:val="24"/>
        </w:rPr>
        <w:t>, 2026).</w:t>
      </w:r>
    </w:p>
    <w:p w:rsidR="00CD20A6" w:rsidRPr="00CD20A6" w:rsidRDefault="00CD20A6" w:rsidP="00CD20A6">
      <w:pPr>
        <w:pStyle w:val="BodyText"/>
        <w:spacing w:before="0" w:beforeAutospacing="0"/>
      </w:pPr>
      <w:r w:rsidRPr="00CD20A6">
        <w:t>When AI coding assistants accelerate the syntactical generation phase without addressing downstream integration, verification, and maintenance, they induce an upstream bullwhip effect. An influx of low-friction, high-volume code shifts the primary engineering bottleneck onto verification pipelines that were architected for human-paced contributions (</w:t>
      </w:r>
      <w:proofErr w:type="spellStart"/>
      <w:r w:rsidRPr="00CD20A6">
        <w:t>Farrag</w:t>
      </w:r>
      <w:proofErr w:type="spellEnd"/>
      <w:r w:rsidRPr="00CD20A6">
        <w:t>, 2026). The consequence is a structural degradation of maintainability that offsets initial authoring gains.</w:t>
      </w:r>
    </w:p>
    <w:p w:rsidR="00CD20A6" w:rsidRPr="00CD20A6" w:rsidRDefault="00CD20A6" w:rsidP="00CD20A6">
      <w:pPr>
        <w:pStyle w:val="Heading2"/>
        <w:spacing w:before="0" w:after="240" w:line="240" w:lineRule="auto"/>
        <w:jc w:val="both"/>
        <w:rPr>
          <w:rFonts w:ascii="Times New Roman" w:hAnsi="Times New Roman" w:cs="Times New Roman"/>
          <w:b w:val="0"/>
          <w:bCs w:val="0"/>
          <w:color w:val="auto"/>
          <w:sz w:val="28"/>
          <w:szCs w:val="24"/>
        </w:rPr>
      </w:pPr>
      <w:bookmarkStart w:id="6" w:name="X66565922d5d8ffd0ffe0a6c004ead8787336888"/>
      <w:bookmarkEnd w:id="3"/>
      <w:bookmarkEnd w:id="5"/>
      <w:r w:rsidRPr="00CD20A6">
        <w:rPr>
          <w:rFonts w:ascii="Times New Roman" w:hAnsi="Times New Roman" w:cs="Times New Roman"/>
          <w:color w:val="auto"/>
          <w:sz w:val="28"/>
          <w:szCs w:val="24"/>
        </w:rPr>
        <w:t>3. CODEBASE DEGRADATION AND THE MECHANICS OF AI-INDUCED TECHNICAL DEBT</w:t>
      </w:r>
      <w:bookmarkStart w:id="7" w:name="X89b02cbb4e25d66571f8b0976669c6f21ec025e"/>
    </w:p>
    <w:p w:rsidR="00CD20A6" w:rsidRPr="00CD20A6" w:rsidRDefault="00CD20A6" w:rsidP="00CD20A6">
      <w:pPr>
        <w:pStyle w:val="Heading3"/>
        <w:spacing w:before="0" w:beforeAutospacing="0" w:after="240"/>
        <w:rPr>
          <w:b w:val="0"/>
          <w:bCs/>
          <w:i/>
          <w:iCs/>
        </w:rPr>
      </w:pPr>
      <w:r w:rsidRPr="00CD20A6">
        <w:rPr>
          <w:bCs/>
          <w:i/>
          <w:iCs/>
        </w:rPr>
        <w:t>3.1. The Structural Decline in Refactoring and the Escalation of Churn</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Longitudinal empirical analyses of software repositories demonstrate that the unmonitored adoption of generative AI exerts immediate downward pressure on structural codebase quality (</w:t>
      </w:r>
      <w:proofErr w:type="spellStart"/>
      <w:r w:rsidRPr="00CD20A6">
        <w:rPr>
          <w:rFonts w:cs="Times New Roman"/>
          <w:sz w:val="24"/>
        </w:rPr>
        <w:t>GitClear</w:t>
      </w:r>
      <w:proofErr w:type="spellEnd"/>
      <w:r w:rsidRPr="00CD20A6">
        <w:rPr>
          <w:rFonts w:cs="Times New Roman"/>
          <w:sz w:val="24"/>
        </w:rPr>
        <w:t xml:space="preserve">, 2024). Comprehensive data mining covering between 153 million and 623 million changed lines of code authored between 2020 and 2026 reveals systemic changes in the composition of </w:t>
      </w:r>
      <w:proofErr w:type="spellStart"/>
      <w:r w:rsidRPr="00CD20A6">
        <w:rPr>
          <w:rFonts w:cs="Times New Roman"/>
          <w:sz w:val="24"/>
        </w:rPr>
        <w:t>git</w:t>
      </w:r>
      <w:proofErr w:type="spellEnd"/>
      <w:r w:rsidRPr="00CD20A6">
        <w:rPr>
          <w:rFonts w:cs="Times New Roman"/>
          <w:sz w:val="24"/>
        </w:rPr>
        <w:t xml:space="preserve"> operations (</w:t>
      </w:r>
      <w:proofErr w:type="spellStart"/>
      <w:r w:rsidRPr="00CD20A6">
        <w:rPr>
          <w:rFonts w:cs="Times New Roman"/>
          <w:sz w:val="24"/>
        </w:rPr>
        <w:t>GitClear</w:t>
      </w:r>
      <w:proofErr w:type="spellEnd"/>
      <w:r w:rsidRPr="00CD20A6">
        <w:rPr>
          <w:rFonts w:cs="Times New Roman"/>
          <w:sz w:val="24"/>
        </w:rPr>
        <w:t>, 2024, 2025). The findings illustrate a structural abandonment of codebase maintenance in favor of additive code synthesis.</w:t>
      </w:r>
    </w:p>
    <w:p w:rsidR="00CD20A6" w:rsidRPr="00CD20A6" w:rsidRDefault="00CD20A6" w:rsidP="00CD20A6">
      <w:pPr>
        <w:pStyle w:val="BodyText"/>
        <w:spacing w:before="0" w:beforeAutospacing="0"/>
      </w:pPr>
      <w:r w:rsidRPr="00CD20A6">
        <w:t>The percentage of “moved” code—the primary repository metric tracking structural refactoring, system reorganization, and module consolidation—plummeted from an average baseline of 25% in 2021 and 21% in 2022 to 9.5% in 2024, eventually reaching an all-time low of 3.8% (</w:t>
      </w:r>
      <w:proofErr w:type="spellStart"/>
      <w:r w:rsidRPr="00CD20A6">
        <w:t>GitClear</w:t>
      </w:r>
      <w:proofErr w:type="spellEnd"/>
      <w:r w:rsidRPr="00CD20A6">
        <w:t>, 2025, 2026). Over the same period, within-commit copy-pasted code escalated from 9.4% to 15.7%, causing the proportion of duplicated code to exceed moved code for the first time since metric collection began (</w:t>
      </w:r>
      <w:proofErr w:type="spellStart"/>
      <w:r w:rsidRPr="00CD20A6">
        <w:t>GitClear</w:t>
      </w:r>
      <w:proofErr w:type="spellEnd"/>
      <w:r w:rsidRPr="00CD20A6">
        <w:t>, 2025, 2026). Furthermore, duplicated blocks of five or more consecutive lines increased by 81% relative to pre-AI baselines, imposing a heavy propagation tax wherein subsequent bug repairs must be manually searched and updated across disparate, disconnected modules (</w:t>
      </w:r>
      <w:proofErr w:type="spellStart"/>
      <w:r w:rsidRPr="00CD20A6">
        <w:t>GitClear</w:t>
      </w:r>
      <w:proofErr w:type="spellEnd"/>
      <w:r w:rsidRPr="00CD20A6">
        <w:t>, 2026).</w:t>
      </w:r>
    </w:p>
    <w:p w:rsidR="00CD20A6" w:rsidRPr="00CD20A6" w:rsidRDefault="00CD20A6" w:rsidP="00CD20A6">
      <w:pPr>
        <w:pStyle w:val="BodyText"/>
        <w:spacing w:before="0" w:beforeAutospacing="0"/>
      </w:pPr>
      <w:r w:rsidRPr="00CD20A6">
        <w:t>Table 2 outlines longitudinal repository telemetry comparing source code characteristics from the pre-AI era (2020–2022) to the AI-augmented era (2024–2026). It details changes in structural refactoring rates, within-commit code duplication, two-week churn, cross-file function calls, error-masking constructs, and legacy code maintenance.</w:t>
      </w:r>
    </w:p>
    <w:p w:rsidR="00CD20A6" w:rsidRPr="00CD20A6" w:rsidRDefault="00CD20A6" w:rsidP="00CD20A6">
      <w:pPr>
        <w:pStyle w:val="BodyText"/>
        <w:spacing w:before="0" w:beforeAutospacing="0"/>
      </w:pPr>
    </w:p>
    <w:p w:rsidR="00CD20A6" w:rsidRPr="00CD20A6" w:rsidRDefault="00CD20A6" w:rsidP="00CD20A6">
      <w:pPr>
        <w:pStyle w:val="BodyText"/>
        <w:spacing w:before="0" w:beforeAutospacing="0"/>
      </w:pPr>
      <w:r w:rsidRPr="00CD20A6">
        <w:lastRenderedPageBreak/>
        <w:t>Table 2: Codebase Quality and Maintainability Indicators Pre- and Post-AI Adoption</w:t>
      </w:r>
    </w:p>
    <w:tbl>
      <w:tblPr>
        <w:tblW w:w="10378"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5"/>
        <w:gridCol w:w="2200"/>
        <w:gridCol w:w="2098"/>
        <w:gridCol w:w="3865"/>
      </w:tblGrid>
      <w:tr w:rsidR="00CD20A6" w:rsidRPr="00CD20A6" w:rsidTr="00CD20A6">
        <w:trPr>
          <w:trHeight w:val="330"/>
        </w:trPr>
        <w:tc>
          <w:tcPr>
            <w:tcW w:w="2215" w:type="dxa"/>
            <w:shd w:val="clear" w:color="auto" w:fill="auto"/>
            <w:noWrap/>
            <w:hideMark/>
          </w:tcPr>
          <w:p w:rsidR="00CD20A6" w:rsidRPr="00CD20A6" w:rsidRDefault="00CD20A6" w:rsidP="00CD20A6">
            <w:pPr>
              <w:spacing w:after="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Maintainability &amp; Quality Metric</w:t>
            </w:r>
          </w:p>
        </w:tc>
        <w:tc>
          <w:tcPr>
            <w:tcW w:w="2200" w:type="dxa"/>
            <w:shd w:val="clear" w:color="auto" w:fill="auto"/>
            <w:noWrap/>
            <w:hideMark/>
          </w:tcPr>
          <w:p w:rsidR="00CD20A6" w:rsidRPr="00CD20A6" w:rsidRDefault="00CD20A6" w:rsidP="00CD20A6">
            <w:pPr>
              <w:spacing w:after="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Pre-AI Baseline (2020–2022)</w:t>
            </w:r>
          </w:p>
        </w:tc>
        <w:tc>
          <w:tcPr>
            <w:tcW w:w="2098" w:type="dxa"/>
            <w:shd w:val="clear" w:color="auto" w:fill="auto"/>
            <w:noWrap/>
            <w:hideMark/>
          </w:tcPr>
          <w:p w:rsidR="00CD20A6" w:rsidRPr="00CD20A6" w:rsidRDefault="00CD20A6" w:rsidP="00CD20A6">
            <w:pPr>
              <w:spacing w:after="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AI-Augmented Era (2024–2026)</w:t>
            </w:r>
          </w:p>
        </w:tc>
        <w:tc>
          <w:tcPr>
            <w:tcW w:w="3865" w:type="dxa"/>
            <w:shd w:val="clear" w:color="auto" w:fill="auto"/>
            <w:noWrap/>
            <w:hideMark/>
          </w:tcPr>
          <w:p w:rsidR="00CD20A6" w:rsidRPr="00CD20A6" w:rsidRDefault="00CD20A6" w:rsidP="00CD20A6">
            <w:pPr>
              <w:spacing w:after="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Directional Impact on Codebase Health</w:t>
            </w:r>
          </w:p>
        </w:tc>
      </w:tr>
      <w:tr w:rsidR="00CD20A6" w:rsidRPr="00CD20A6" w:rsidTr="00CD20A6">
        <w:trPr>
          <w:trHeight w:val="330"/>
        </w:trPr>
        <w:tc>
          <w:tcPr>
            <w:tcW w:w="221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Refactoring Activity (Moved Lines)</w:t>
            </w:r>
          </w:p>
        </w:tc>
        <w:tc>
          <w:tcPr>
            <w:tcW w:w="2200"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21.0% – 25.0% of total lines </w:t>
            </w:r>
          </w:p>
        </w:tc>
        <w:tc>
          <w:tcPr>
            <w:tcW w:w="2098"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3.8% – 9.5% of total lines </w:t>
            </w:r>
          </w:p>
        </w:tc>
        <w:tc>
          <w:tcPr>
            <w:tcW w:w="386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Severe architectural atrophy; decline in module consolidation </w:t>
            </w:r>
          </w:p>
        </w:tc>
      </w:tr>
      <w:tr w:rsidR="00CD20A6" w:rsidRPr="00CD20A6" w:rsidTr="00CD20A6">
        <w:trPr>
          <w:trHeight w:val="330"/>
        </w:trPr>
        <w:tc>
          <w:tcPr>
            <w:tcW w:w="221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Within-Commit Code 5Duplication</w:t>
            </w:r>
          </w:p>
        </w:tc>
        <w:tc>
          <w:tcPr>
            <w:tcW w:w="2200"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9.4% of changed lines </w:t>
            </w:r>
          </w:p>
        </w:tc>
        <w:tc>
          <w:tcPr>
            <w:tcW w:w="2098"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15.7% of changed lines </w:t>
            </w:r>
          </w:p>
        </w:tc>
        <w:tc>
          <w:tcPr>
            <w:tcW w:w="386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Widespread violations of DRY principles; logic fragmentation </w:t>
            </w:r>
          </w:p>
        </w:tc>
      </w:tr>
      <w:tr w:rsidR="00CD20A6" w:rsidRPr="00CD20A6" w:rsidTr="00CD20A6">
        <w:trPr>
          <w:trHeight w:val="330"/>
        </w:trPr>
        <w:tc>
          <w:tcPr>
            <w:tcW w:w="221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Two-Week Code Churn Frequency</w:t>
            </w:r>
          </w:p>
        </w:tc>
        <w:tc>
          <w:tcPr>
            <w:tcW w:w="2200"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3.3% of authored code </w:t>
            </w:r>
          </w:p>
        </w:tc>
        <w:tc>
          <w:tcPr>
            <w:tcW w:w="2098"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7.1% of authored code </w:t>
            </w:r>
          </w:p>
        </w:tc>
        <w:tc>
          <w:tcPr>
            <w:tcW w:w="386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Surging codebase instability; rapid reverts, patches, and </w:t>
            </w:r>
            <w:proofErr w:type="spellStart"/>
            <w:r w:rsidRPr="00CD20A6">
              <w:rPr>
                <w:rFonts w:ascii="Times New Roman" w:eastAsia="Times New Roman" w:hAnsi="Times New Roman"/>
                <w:color w:val="000000"/>
                <w:sz w:val="24"/>
                <w:szCs w:val="24"/>
              </w:rPr>
              <w:t>hotfixes</w:t>
            </w:r>
            <w:proofErr w:type="spellEnd"/>
            <w:r w:rsidRPr="00CD20A6">
              <w:rPr>
                <w:rFonts w:ascii="Times New Roman" w:eastAsia="Times New Roman" w:hAnsi="Times New Roman"/>
                <w:color w:val="000000"/>
                <w:sz w:val="24"/>
                <w:szCs w:val="24"/>
              </w:rPr>
              <w:t xml:space="preserve"> </w:t>
            </w:r>
          </w:p>
        </w:tc>
      </w:tr>
      <w:tr w:rsidR="00CD20A6" w:rsidRPr="00CD20A6" w:rsidTr="00CD20A6">
        <w:trPr>
          <w:trHeight w:val="330"/>
        </w:trPr>
        <w:tc>
          <w:tcPr>
            <w:tcW w:w="221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Cross-File Method Invocations</w:t>
            </w:r>
          </w:p>
        </w:tc>
        <w:tc>
          <w:tcPr>
            <w:tcW w:w="2200"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343 calls per 1,000 lines </w:t>
            </w:r>
          </w:p>
        </w:tc>
        <w:tc>
          <w:tcPr>
            <w:tcW w:w="2098"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223 calls per 1,000 lines </w:t>
            </w:r>
          </w:p>
        </w:tc>
        <w:tc>
          <w:tcPr>
            <w:tcW w:w="386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proofErr w:type="spellStart"/>
            <w:r w:rsidRPr="00CD20A6">
              <w:rPr>
                <w:rFonts w:ascii="Times New Roman" w:eastAsia="Times New Roman" w:hAnsi="Times New Roman"/>
                <w:color w:val="000000"/>
                <w:sz w:val="24"/>
                <w:szCs w:val="24"/>
              </w:rPr>
              <w:t>Siloed</w:t>
            </w:r>
            <w:proofErr w:type="spellEnd"/>
            <w:r w:rsidRPr="00CD20A6">
              <w:rPr>
                <w:rFonts w:ascii="Times New Roman" w:eastAsia="Times New Roman" w:hAnsi="Times New Roman"/>
                <w:color w:val="000000"/>
                <w:sz w:val="24"/>
                <w:szCs w:val="24"/>
              </w:rPr>
              <w:t xml:space="preserve"> component design; failure to reuse shared business logic </w:t>
            </w:r>
          </w:p>
        </w:tc>
      </w:tr>
      <w:tr w:rsidR="00CD20A6" w:rsidRPr="00CD20A6" w:rsidTr="00CD20A6">
        <w:trPr>
          <w:trHeight w:val="330"/>
        </w:trPr>
        <w:tc>
          <w:tcPr>
            <w:tcW w:w="221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Error-Masking Constructs</w:t>
            </w:r>
          </w:p>
        </w:tc>
        <w:tc>
          <w:tcPr>
            <w:tcW w:w="2200"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Established baseline </w:t>
            </w:r>
          </w:p>
        </w:tc>
        <w:tc>
          <w:tcPr>
            <w:tcW w:w="2098"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+47% relative increase</w:t>
            </w:r>
          </w:p>
        </w:tc>
        <w:tc>
          <w:tcPr>
            <w:tcW w:w="386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Escalation of blank catch blocks and unhandled failure states </w:t>
            </w:r>
          </w:p>
        </w:tc>
      </w:tr>
      <w:tr w:rsidR="00CD20A6" w:rsidRPr="00CD20A6" w:rsidTr="00CD20A6">
        <w:trPr>
          <w:trHeight w:val="330"/>
        </w:trPr>
        <w:tc>
          <w:tcPr>
            <w:tcW w:w="221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Legacy Code Maintenance (&gt;12 mo)</w:t>
            </w:r>
          </w:p>
        </w:tc>
        <w:tc>
          <w:tcPr>
            <w:tcW w:w="2200"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1.7% touched annually </w:t>
            </w:r>
          </w:p>
        </w:tc>
        <w:tc>
          <w:tcPr>
            <w:tcW w:w="2098"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0.46% touched annually </w:t>
            </w:r>
          </w:p>
        </w:tc>
        <w:tc>
          <w:tcPr>
            <w:tcW w:w="386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Rapid calcification of foundational core business layers </w:t>
            </w:r>
          </w:p>
        </w:tc>
      </w:tr>
    </w:tbl>
    <w:p w:rsidR="00CD20A6" w:rsidRPr="00CD20A6" w:rsidRDefault="00CD20A6" w:rsidP="00CD20A6">
      <w:pPr>
        <w:pStyle w:val="BodyText"/>
        <w:spacing w:before="240" w:beforeAutospacing="0"/>
      </w:pPr>
      <w:r w:rsidRPr="00CD20A6">
        <w:t>Short-term code churn—defined as the proportion of code reverted, modified, or deleted within two weeks of commit authoring—surged from a baseline of 3.3% in 2020 to more than 7.1% (</w:t>
      </w:r>
      <w:proofErr w:type="spellStart"/>
      <w:r w:rsidRPr="00CD20A6">
        <w:t>GitClear</w:t>
      </w:r>
      <w:proofErr w:type="spellEnd"/>
      <w:r w:rsidRPr="00CD20A6">
        <w:t xml:space="preserve">, 2026; </w:t>
      </w:r>
      <w:proofErr w:type="spellStart"/>
      <w:r w:rsidRPr="00CD20A6">
        <w:t>Codacy</w:t>
      </w:r>
      <w:proofErr w:type="spellEnd"/>
      <w:r w:rsidRPr="00CD20A6">
        <w:t>, 2026). Rather than incrementally modernizing existing systems, engineering teams increasingly neglect foundational codebase strata: modifications and refactoring of legacy code untouched for more than twelve months fell by 74% (</w:t>
      </w:r>
      <w:proofErr w:type="spellStart"/>
      <w:r w:rsidRPr="00CD20A6">
        <w:t>GitClear</w:t>
      </w:r>
      <w:proofErr w:type="spellEnd"/>
      <w:r w:rsidRPr="00CD20A6">
        <w:t>, 2026). Concurrently, cross-file function calls declined by 35%, dropping from 343 method invocations per thousand lines to 223 (</w:t>
      </w:r>
      <w:proofErr w:type="spellStart"/>
      <w:r w:rsidRPr="00CD20A6">
        <w:t>GitClear</w:t>
      </w:r>
      <w:proofErr w:type="spellEnd"/>
      <w:r w:rsidRPr="00CD20A6">
        <w:t xml:space="preserve">, 2026). Newly generated code is rarely woven into existing class hierarchies and shared business logic; it is instead appended as isolated, duplicative modules that repeatedly </w:t>
      </w:r>
      <w:proofErr w:type="spellStart"/>
      <w:r w:rsidRPr="00CD20A6">
        <w:t>reimplement</w:t>
      </w:r>
      <w:proofErr w:type="spellEnd"/>
      <w:r w:rsidRPr="00CD20A6">
        <w:t xml:space="preserve"> existing system capabilities (</w:t>
      </w:r>
      <w:proofErr w:type="spellStart"/>
      <w:r w:rsidRPr="00CD20A6">
        <w:t>GitClear</w:t>
      </w:r>
      <w:proofErr w:type="spellEnd"/>
      <w:r w:rsidRPr="00CD20A6">
        <w:t>, 2026).</w:t>
      </w:r>
      <w:bookmarkStart w:id="8" w:name="Xc1f880f95ef017b11c58ad3a930eca381ce5b5e"/>
      <w:bookmarkEnd w:id="7"/>
    </w:p>
    <w:p w:rsidR="00CD20A6" w:rsidRPr="00CD20A6" w:rsidRDefault="00CD20A6" w:rsidP="00CD20A6">
      <w:pPr>
        <w:pStyle w:val="BodyText"/>
        <w:spacing w:before="0" w:beforeAutospacing="0"/>
      </w:pPr>
      <w:r w:rsidRPr="00CD20A6">
        <w:t>Figure 2 depicts multi-year repository telemetry tracking structural codebase decay following widespread generative model adoption. It plots the collapse of structural refactoring and moved code (dropping from 25.0% to 3.8%) against the concurrent surge in within-commit duplication (rising to 15.7%) and two-week code churn (increasing from 3.3% to 7.1%).</w:t>
      </w:r>
    </w:p>
    <w:p w:rsidR="00CD20A6" w:rsidRPr="00CD20A6" w:rsidRDefault="00CD20A6" w:rsidP="00CD20A6">
      <w:pPr>
        <w:pStyle w:val="BodyText"/>
        <w:spacing w:before="0" w:beforeAutospacing="0"/>
      </w:pPr>
      <w:r w:rsidRPr="00CD20A6">
        <w:rPr>
          <w:noProof/>
          <w:lang w:bidi="hi-IN"/>
        </w:rPr>
        <w:drawing>
          <wp:inline distT="0" distB="0" distL="0" distR="0">
            <wp:extent cx="5547360" cy="3467100"/>
            <wp:effectExtent l="19050" t="0" r="0" b="0"/>
            <wp:docPr id="1181180343" name="Picture 1" descr="A graph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80343" name="Picture 1" descr="A graph of a number of numbers&#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08840" cy="3505525"/>
                    </a:xfrm>
                    <a:prstGeom prst="rect">
                      <a:avLst/>
                    </a:prstGeom>
                    <a:noFill/>
                  </pic:spPr>
                </pic:pic>
              </a:graphicData>
            </a:graphic>
          </wp:inline>
        </w:drawing>
      </w:r>
    </w:p>
    <w:p w:rsidR="00CD20A6" w:rsidRPr="00CD20A6" w:rsidRDefault="00CD20A6" w:rsidP="00CD20A6">
      <w:pPr>
        <w:pStyle w:val="BodyText"/>
        <w:spacing w:before="0" w:beforeAutospacing="0"/>
      </w:pPr>
      <w:r w:rsidRPr="00CD20A6">
        <w:rPr>
          <w:b/>
          <w:bCs/>
        </w:rPr>
        <w:t>Figure 2:</w:t>
      </w:r>
      <w:r w:rsidRPr="00CD20A6">
        <w:t xml:space="preserve"> Longitudinal Codebase Degradation (2020–2026)</w:t>
      </w:r>
    </w:p>
    <w:p w:rsidR="00CD20A6" w:rsidRPr="00CD20A6" w:rsidRDefault="00CD20A6" w:rsidP="00CD20A6">
      <w:pPr>
        <w:pStyle w:val="Heading3"/>
        <w:spacing w:before="0" w:beforeAutospacing="0" w:after="240"/>
        <w:rPr>
          <w:b w:val="0"/>
          <w:bCs/>
          <w:i/>
          <w:iCs/>
        </w:rPr>
      </w:pPr>
      <w:r w:rsidRPr="00CD20A6">
        <w:rPr>
          <w:bCs/>
          <w:i/>
          <w:iCs/>
        </w:rPr>
        <w:lastRenderedPageBreak/>
        <w:t>3.2. The Itinerant Contributor Model and Comprehension Debt</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The structural anomalies observed in enterprise repositories reflect the operational characteristics of generative language models, which function analogously to an itinerant short-term contractor (</w:t>
      </w:r>
      <w:proofErr w:type="spellStart"/>
      <w:r w:rsidRPr="00CD20A6">
        <w:rPr>
          <w:rFonts w:cs="Times New Roman"/>
          <w:sz w:val="24"/>
        </w:rPr>
        <w:t>GitClear</w:t>
      </w:r>
      <w:proofErr w:type="spellEnd"/>
      <w:r w:rsidRPr="00CD20A6">
        <w:rPr>
          <w:rFonts w:cs="Times New Roman"/>
          <w:sz w:val="24"/>
        </w:rPr>
        <w:t>, 2024). Autoregressive language models synthesize source code by optimizing next-token probability distributions constrained within an immediate context window. The model has no innate comprehension of a system’s multi-year operational constraints, runtime telemetry, or architectural conventions (</w:t>
      </w:r>
      <w:proofErr w:type="spellStart"/>
      <w:r w:rsidRPr="00CD20A6">
        <w:rPr>
          <w:rFonts w:cs="Times New Roman"/>
          <w:sz w:val="24"/>
        </w:rPr>
        <w:t>GitClear</w:t>
      </w:r>
      <w:proofErr w:type="spellEnd"/>
      <w:r w:rsidRPr="00CD20A6">
        <w:rPr>
          <w:rFonts w:cs="Times New Roman"/>
          <w:sz w:val="24"/>
        </w:rPr>
        <w:t>, 2024). When prompted to implement new functionality, the generator appends redundant routines and localized helper functions rather than undertaking the riskier, cognitively demanding task of refactoring existing shared libraries (</w:t>
      </w:r>
      <w:proofErr w:type="spellStart"/>
      <w:r w:rsidRPr="00CD20A6">
        <w:rPr>
          <w:rFonts w:cs="Times New Roman"/>
          <w:sz w:val="24"/>
        </w:rPr>
        <w:t>GitClear</w:t>
      </w:r>
      <w:proofErr w:type="spellEnd"/>
      <w:r w:rsidRPr="00CD20A6">
        <w:rPr>
          <w:rFonts w:cs="Times New Roman"/>
          <w:sz w:val="24"/>
        </w:rPr>
        <w:t>, 2026).</w:t>
      </w:r>
    </w:p>
    <w:p w:rsidR="00CD20A6" w:rsidRPr="00CD20A6" w:rsidRDefault="00CD20A6" w:rsidP="00CD20A6">
      <w:pPr>
        <w:pStyle w:val="BodyText"/>
        <w:spacing w:before="0" w:beforeAutospacing="0"/>
      </w:pPr>
      <w:r w:rsidRPr="00CD20A6">
        <w:t>This dynamic generates systemic “comprehension debt,” defined as the widening gap between the volume of code operating in production and the engineering team’s shared mental model of its execution paths (IJRASET, 2026). When software is authored manually, developers internalize structural invariants, domain boundaries, and edge-case exceptions through the cognitive effort of problem formulation and iterative debugging. Conversely, delegating implementation to an LLM produces syntactically fluent logic that the author frequently skims rather than internalizes (</w:t>
      </w:r>
      <w:proofErr w:type="spellStart"/>
      <w:r w:rsidRPr="00CD20A6">
        <w:t>Codacy</w:t>
      </w:r>
      <w:proofErr w:type="spellEnd"/>
      <w:r w:rsidRPr="00CD20A6">
        <w:t>, 2026). When non-trivial edge cases or performance degradations occur in production, remediation shifts from first-principles analysis to an interpretive process of guessing model intentions, inflating the mean time to resolution (MTTR) for complex defects (IJRASET, 2026).</w:t>
      </w:r>
      <w:bookmarkStart w:id="9" w:name="X728013e298f3a1ef6c60c43bf3e42f7de00dc34"/>
      <w:bookmarkEnd w:id="8"/>
    </w:p>
    <w:p w:rsidR="00CD20A6" w:rsidRPr="00CD20A6" w:rsidRDefault="00CD20A6" w:rsidP="00CD20A6">
      <w:pPr>
        <w:pStyle w:val="Heading3"/>
        <w:spacing w:before="0" w:beforeAutospacing="0" w:after="240"/>
        <w:rPr>
          <w:b w:val="0"/>
          <w:bCs/>
          <w:i/>
          <w:iCs/>
        </w:rPr>
      </w:pPr>
      <w:r w:rsidRPr="00CD20A6">
        <w:rPr>
          <w:bCs/>
          <w:i/>
          <w:iCs/>
        </w:rPr>
        <w:t>3.3. Empirical Audit of Ungoverned Synthesis: The Vibe Coding Pathology</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The abandonment of software engineering disciplines is visible in the industry practice of “vibe coding,” where software is synthesized through iterative conversational prompting, accepting /artifacts based on superficial behavioral checks rather than structured specification and design verification (</w:t>
      </w:r>
      <w:proofErr w:type="spellStart"/>
      <w:r w:rsidRPr="00CD20A6">
        <w:rPr>
          <w:rFonts w:cs="Times New Roman"/>
          <w:sz w:val="24"/>
        </w:rPr>
        <w:t>CodeRabbit</w:t>
      </w:r>
      <w:proofErr w:type="spellEnd"/>
      <w:r w:rsidRPr="00CD20A6">
        <w:rPr>
          <w:rFonts w:cs="Times New Roman"/>
          <w:sz w:val="24"/>
        </w:rPr>
        <w:t>, 2026). An empirical audit of 8.1 million pull requests revealed that unconstrained conversational coding led to an immediate 30% to 41% surge in technical debt indicators, characterized by missing exception handling, hidden dependencies, and dead execution paths (</w:t>
      </w:r>
      <w:proofErr w:type="spellStart"/>
      <w:r w:rsidRPr="00CD20A6">
        <w:rPr>
          <w:rFonts w:cs="Times New Roman"/>
          <w:sz w:val="24"/>
        </w:rPr>
        <w:t>Autonoma</w:t>
      </w:r>
      <w:proofErr w:type="spellEnd"/>
      <w:r w:rsidRPr="00CD20A6">
        <w:rPr>
          <w:rFonts w:cs="Times New Roman"/>
          <w:sz w:val="24"/>
        </w:rPr>
        <w:t xml:space="preserve"> AI, 2026).</w:t>
      </w:r>
    </w:p>
    <w:p w:rsidR="00CD20A6" w:rsidRPr="00CD20A6" w:rsidRDefault="00CD20A6" w:rsidP="00CD20A6">
      <w:pPr>
        <w:pStyle w:val="BodyText"/>
        <w:spacing w:before="0" w:beforeAutospacing="0"/>
      </w:pPr>
      <w:r w:rsidRPr="00CD20A6">
        <w:t>A forensic evaluation of 10,000 early-stage ventures that built production systems via ungoverned generative prompting revealed that by mid-2026, more than 8,000 required significant architectural rescue engineering or complete rewrites, incurring unplanned remediation expenditures ranging between $50,000 and $500,000 per application (</w:t>
      </w:r>
      <w:proofErr w:type="spellStart"/>
      <w:r w:rsidRPr="00CD20A6">
        <w:t>Creatr</w:t>
      </w:r>
      <w:proofErr w:type="spellEnd"/>
      <w:r w:rsidRPr="00CD20A6">
        <w:t>, 2026). Structural audits of 50 such applications across public cloud platforms revealed that 88% had completely disabled database row-level security (RLS), left backend service endpoints unauthenticated, or lacked tenant isolation safeguards (</w:t>
      </w:r>
      <w:proofErr w:type="spellStart"/>
      <w:r w:rsidRPr="00CD20A6">
        <w:t>Creatr</w:t>
      </w:r>
      <w:proofErr w:type="spellEnd"/>
      <w:r w:rsidRPr="00CD20A6">
        <w:t>, 2026). These catastrophic failures occur because conversational LLMs default to the happy path of functional execution unless strictly constrained by formal architectural and security specifications (</w:t>
      </w:r>
      <w:proofErr w:type="spellStart"/>
      <w:r w:rsidRPr="00CD20A6">
        <w:t>CodeRabbit</w:t>
      </w:r>
      <w:proofErr w:type="spellEnd"/>
      <w:r w:rsidRPr="00CD20A6">
        <w:t>, 2026).</w:t>
      </w:r>
    </w:p>
    <w:p w:rsidR="00CD20A6" w:rsidRPr="00CD20A6" w:rsidRDefault="00CD20A6" w:rsidP="00CD20A6">
      <w:pPr>
        <w:pStyle w:val="Heading2"/>
        <w:spacing w:before="0" w:after="240" w:line="240" w:lineRule="auto"/>
        <w:jc w:val="both"/>
        <w:rPr>
          <w:rFonts w:ascii="Times New Roman" w:hAnsi="Times New Roman" w:cs="Times New Roman"/>
          <w:b w:val="0"/>
          <w:bCs w:val="0"/>
          <w:color w:val="auto"/>
          <w:sz w:val="28"/>
          <w:szCs w:val="24"/>
        </w:rPr>
      </w:pPr>
      <w:bookmarkStart w:id="10" w:name="X7dfd3e17e3022b522cad5590347425055dbd965"/>
      <w:bookmarkEnd w:id="6"/>
      <w:bookmarkEnd w:id="9"/>
      <w:r w:rsidRPr="00CD20A6">
        <w:rPr>
          <w:rFonts w:ascii="Times New Roman" w:hAnsi="Times New Roman" w:cs="Times New Roman"/>
          <w:color w:val="auto"/>
          <w:sz w:val="28"/>
          <w:szCs w:val="24"/>
        </w:rPr>
        <w:t>4. THE ELEVATED NECESSITY OF PEER CODE REVIEW</w:t>
      </w:r>
      <w:bookmarkStart w:id="11" w:name="X169db721e5f0a1f59dacfa131c7d218a70e7b48"/>
    </w:p>
    <w:p w:rsidR="00CD20A6" w:rsidRPr="00CD20A6" w:rsidRDefault="00CD20A6" w:rsidP="00CD20A6">
      <w:pPr>
        <w:pStyle w:val="Heading3"/>
        <w:spacing w:before="0" w:beforeAutospacing="0" w:after="240"/>
        <w:rPr>
          <w:b w:val="0"/>
          <w:bCs/>
          <w:i/>
          <w:iCs/>
        </w:rPr>
      </w:pPr>
      <w:r w:rsidRPr="00CD20A6">
        <w:rPr>
          <w:bCs/>
          <w:i/>
          <w:iCs/>
        </w:rPr>
        <w:t>4.1. Review Fatigue and the Verification Bottleneck</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In software development workflows augmented by generative AI, peer code review shifts from a cooperative method for catching basic syntactic mistakes into a vital defense against architectural drift, hidden logic errors, and supply chain contamination (Awesome Code Reviews, 2025). However, the influx of AI-generated pull requests has placed severe strain on the Modern Code Review (MCR) process (Brown, 2026).</w:t>
      </w:r>
    </w:p>
    <w:p w:rsidR="00CD20A6" w:rsidRPr="00CD20A6" w:rsidRDefault="00CD20A6" w:rsidP="00CD20A6">
      <w:pPr>
        <w:pStyle w:val="BodyText"/>
        <w:spacing w:before="0" w:beforeAutospacing="0"/>
      </w:pPr>
      <w:r w:rsidRPr="00CD20A6">
        <w:t xml:space="preserve">Because an LLM can generate a 600-line change in seconds, pull request submission queues have become congested. Reviewing code possesses an asymmetric cognitive complexity: while code authoring can be offloaded to probabilistic models, reading, analyzing, and validating code requires human reviewers to mentally reconstruct intent, evaluate global invariants, trace state changes across components, and anticipate concurrency hazards (Al </w:t>
      </w:r>
      <w:proofErr w:type="spellStart"/>
      <w:r w:rsidRPr="00CD20A6">
        <w:t>Madi</w:t>
      </w:r>
      <w:proofErr w:type="spellEnd"/>
      <w:r w:rsidRPr="00CD20A6">
        <w:t xml:space="preserve"> et al., 2022). When code volume doubles without an expansion in senior engineering staff, peer review queues experience verification fatigue, increasing the likelihood that flawed contributions are approved without adequate scrutiny (Brown, 2026).</w:t>
      </w:r>
      <w:bookmarkStart w:id="12" w:name="X747b2eaaae8dd5965123de9aed114190fafe5ad"/>
      <w:bookmarkEnd w:id="11"/>
    </w:p>
    <w:p w:rsidR="00CD20A6" w:rsidRPr="00CD20A6" w:rsidRDefault="00CD20A6" w:rsidP="00CD20A6">
      <w:pPr>
        <w:pStyle w:val="Heading3"/>
        <w:spacing w:before="0" w:beforeAutospacing="0" w:after="240"/>
        <w:rPr>
          <w:b w:val="0"/>
          <w:bCs/>
          <w:i/>
          <w:iCs/>
        </w:rPr>
      </w:pPr>
      <w:r w:rsidRPr="00CD20A6">
        <w:rPr>
          <w:bCs/>
          <w:i/>
          <w:iCs/>
        </w:rPr>
        <w:lastRenderedPageBreak/>
        <w:t>4.2. Automation Bias, Visual Attention Deficits, and Cognitive Surrender</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The primary socio-technical vulnerability undermining peer code review in the generative era is automation bias: the cognitive tendency for human operators to over-rely on automated systems, treating machine outputs as authoritative while curtailing vigilance and independent scrutiny (</w:t>
      </w:r>
      <w:proofErr w:type="spellStart"/>
      <w:r w:rsidRPr="00CD20A6">
        <w:rPr>
          <w:rFonts w:cs="Times New Roman"/>
          <w:sz w:val="24"/>
        </w:rPr>
        <w:t>Codacy</w:t>
      </w:r>
      <w:proofErr w:type="spellEnd"/>
      <w:r w:rsidRPr="00CD20A6">
        <w:rPr>
          <w:rFonts w:cs="Times New Roman"/>
          <w:sz w:val="24"/>
        </w:rPr>
        <w:t>, 2026). Generative code models produce syntactically fluent outputs: variable names adhere to style guides, comments are articulate, and pull request descriptions provide compelling rationales (</w:t>
      </w:r>
      <w:proofErr w:type="spellStart"/>
      <w:r w:rsidRPr="00CD20A6">
        <w:rPr>
          <w:rFonts w:cs="Times New Roman"/>
          <w:sz w:val="24"/>
        </w:rPr>
        <w:t>Codacy</w:t>
      </w:r>
      <w:proofErr w:type="spellEnd"/>
      <w:r w:rsidRPr="00CD20A6">
        <w:rPr>
          <w:rFonts w:cs="Times New Roman"/>
          <w:sz w:val="24"/>
        </w:rPr>
        <w:t>, 2026). This surface polish disarms human skepticism, leading reviewers to conflate aesthetic fluency with logical correctness (</w:t>
      </w:r>
      <w:proofErr w:type="spellStart"/>
      <w:r w:rsidRPr="00CD20A6">
        <w:rPr>
          <w:rFonts w:cs="Times New Roman"/>
          <w:sz w:val="24"/>
        </w:rPr>
        <w:t>Codacy</w:t>
      </w:r>
      <w:proofErr w:type="spellEnd"/>
      <w:r w:rsidRPr="00CD20A6">
        <w:rPr>
          <w:rFonts w:cs="Times New Roman"/>
          <w:sz w:val="24"/>
        </w:rPr>
        <w:t>, 2026).</w:t>
      </w:r>
    </w:p>
    <w:p w:rsidR="00CD20A6" w:rsidRPr="00CD20A6" w:rsidRDefault="00CD20A6" w:rsidP="00CD20A6">
      <w:pPr>
        <w:pStyle w:val="BodyText"/>
        <w:spacing w:before="0" w:beforeAutospacing="0"/>
      </w:pPr>
      <w:r w:rsidRPr="00CD20A6">
        <w:t xml:space="preserve">Biometric investigations employing eye-tracking hardware reveal that software engineers allocate statistically significantly less visual attention and fixate for shorter durations on code </w:t>
      </w:r>
      <w:proofErr w:type="spellStart"/>
      <w:r w:rsidRPr="00CD20A6">
        <w:t>diffs</w:t>
      </w:r>
      <w:proofErr w:type="spellEnd"/>
      <w:r w:rsidRPr="00CD20A6">
        <w:t xml:space="preserve"> labeled as AI-generated compared to identical human-written </w:t>
      </w:r>
      <w:proofErr w:type="spellStart"/>
      <w:r w:rsidRPr="00CD20A6">
        <w:t>diffs</w:t>
      </w:r>
      <w:proofErr w:type="spellEnd"/>
      <w:r w:rsidRPr="00CD20A6">
        <w:t xml:space="preserve"> (Al </w:t>
      </w:r>
      <w:proofErr w:type="spellStart"/>
      <w:r w:rsidRPr="00CD20A6">
        <w:t>Madi</w:t>
      </w:r>
      <w:proofErr w:type="spellEnd"/>
      <w:r w:rsidRPr="00CD20A6">
        <w:t xml:space="preserve"> et al., 2022). In a controlled experiment assessing 385 software engineers reviewing pull requests under varying conditions of complexity and provenance, high code complexity paired with an AI-authorship label produced the highest rates of rubber-stamping incorrect logic (Awesome Code Reviews, 2025). Reviewers routinely assumed the generative model had accounted for hidden invariants and edge conditions (</w:t>
      </w:r>
      <w:proofErr w:type="spellStart"/>
      <w:r w:rsidRPr="00CD20A6">
        <w:t>Codacy</w:t>
      </w:r>
      <w:proofErr w:type="spellEnd"/>
      <w:r w:rsidRPr="00CD20A6">
        <w:t>, 2026).</w:t>
      </w:r>
    </w:p>
    <w:p w:rsidR="00CD20A6" w:rsidRPr="00CD20A6" w:rsidRDefault="00CD20A6" w:rsidP="00CD20A6">
      <w:pPr>
        <w:pStyle w:val="BodyText"/>
        <w:spacing w:before="0" w:beforeAutospacing="0"/>
      </w:pPr>
      <w:r w:rsidRPr="00CD20A6">
        <w:t xml:space="preserve">This dynamic appears clearly in empirical defect data: in a controlled study evaluating 50 mid-level engineers resolving multi-file architectural bugs, the AI-assisted cohort achieved a 24.6% reduction in mean time to resolution, but their defect detection accuracy dropped by 7.8 percentage points, accompanied by a 2.4-fold increase in false-positive </w:t>
      </w:r>
      <w:proofErr w:type="spellStart"/>
      <w:r w:rsidRPr="00CD20A6">
        <w:t>remediations</w:t>
      </w:r>
      <w:proofErr w:type="spellEnd"/>
      <w:r w:rsidRPr="00CD20A6">
        <w:t xml:space="preserve"> compared to unassisted developers (IJRASET, 2026). Similarly, a Stanford University user study examining security-critical tasks across multiple programming languages discovered that developers with access to AI assistants authored code with significantly higher rates of critical security vulnerabilities, while simultaneously exhibiting a higher subjective belief that their code was secure (Perry et al., 2023).</w:t>
      </w:r>
      <w:bookmarkStart w:id="13" w:name="X24c720d6b2c63aebe61095777918324b6e5ec19"/>
      <w:bookmarkEnd w:id="12"/>
    </w:p>
    <w:p w:rsidR="00CD20A6" w:rsidRPr="00CD20A6" w:rsidRDefault="00CD20A6" w:rsidP="00CD20A6">
      <w:pPr>
        <w:pStyle w:val="Heading3"/>
        <w:spacing w:before="0" w:beforeAutospacing="0" w:after="240"/>
        <w:rPr>
          <w:b w:val="0"/>
          <w:bCs/>
          <w:i/>
          <w:iCs/>
        </w:rPr>
      </w:pPr>
      <w:r w:rsidRPr="00CD20A6">
        <w:rPr>
          <w:bCs/>
          <w:i/>
          <w:iCs/>
        </w:rPr>
        <w:t>4.3. Software Supply Chain Vulnerabilities and Package Hallucinations</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The necessity of strict human peer code review is underscored by the emergence of AI-specific supply chain attack vectors, most notably package hallucination (NHISMG, 2025). Because large language models lack integrated runtime package managers and operate purely through probabilistic token sequences, they frequently generate import statements referencing plausible yet non-existent software libraries or dependencies (Echo AI, 2025).</w:t>
      </w:r>
    </w:p>
    <w:p w:rsidR="00CD20A6" w:rsidRPr="00CD20A6" w:rsidRDefault="00CD20A6" w:rsidP="00CD20A6">
      <w:pPr>
        <w:pStyle w:val="BodyText"/>
        <w:spacing w:before="0" w:beforeAutospacing="0"/>
      </w:pPr>
      <w:r w:rsidRPr="00CD20A6">
        <w:t>In a multi-university empirical evaluation examining 2.23 million code generations produced across 30 LLM configurations in Python and JavaScript, researchers uncovered 440,445 instances of package hallucinations (a 19.7% systemic hallucination rate), isolating 205,474 unique non-existent package names (InfoWorld, 2025). Proprietary models displayed hallucination rates around 5.2%, whereas open-weight models reached hallucination rates as high as 21.7% to 64.5% depending on task framing (</w:t>
      </w:r>
      <w:proofErr w:type="spellStart"/>
      <w:r w:rsidRPr="00CD20A6">
        <w:t>Snyk</w:t>
      </w:r>
      <w:proofErr w:type="spellEnd"/>
      <w:r w:rsidRPr="00CD20A6">
        <w:t>, 2025).</w:t>
      </w:r>
    </w:p>
    <w:p w:rsidR="00CD20A6" w:rsidRPr="00CD20A6" w:rsidRDefault="00CD20A6" w:rsidP="00CD20A6">
      <w:pPr>
        <w:pStyle w:val="BodyText"/>
        <w:spacing w:before="0" w:beforeAutospacing="0"/>
      </w:pPr>
      <w:r w:rsidRPr="00CD20A6">
        <w:t xml:space="preserve">Table 3 compares the frequency of fabricated dependencies produced across proprietary frontier and open-weight language models. It illustrates how </w:t>
      </w:r>
      <w:proofErr w:type="spellStart"/>
      <w:r w:rsidRPr="00CD20A6">
        <w:t>unvetted</w:t>
      </w:r>
      <w:proofErr w:type="spellEnd"/>
      <w:r w:rsidRPr="00CD20A6">
        <w:t xml:space="preserve"> package recommendations create the "</w:t>
      </w:r>
      <w:proofErr w:type="spellStart"/>
      <w:r w:rsidRPr="00CD20A6">
        <w:t>slopsquatting</w:t>
      </w:r>
      <w:proofErr w:type="spellEnd"/>
      <w:r w:rsidRPr="00CD20A6">
        <w:t>" attack surface, where threat actors register hallucinated package names with malicious payloads in public registries.</w:t>
      </w:r>
    </w:p>
    <w:p w:rsidR="00CD20A6" w:rsidRPr="00CD20A6" w:rsidRDefault="00CD20A6" w:rsidP="00CD20A6">
      <w:pPr>
        <w:pStyle w:val="BodyText"/>
        <w:spacing w:before="0" w:beforeAutospacing="0"/>
      </w:pPr>
      <w:r w:rsidRPr="00CD20A6">
        <w:t>Table 3: Observed Package Hallucination Rates and Software Supply Chain Attack Vectors</w:t>
      </w:r>
    </w:p>
    <w:tbl>
      <w:tblPr>
        <w:tblW w:w="10758"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5"/>
        <w:gridCol w:w="2850"/>
        <w:gridCol w:w="2557"/>
        <w:gridCol w:w="3276"/>
      </w:tblGrid>
      <w:tr w:rsidR="00CD20A6" w:rsidRPr="00CD20A6" w:rsidTr="00CD20A6">
        <w:trPr>
          <w:trHeight w:val="330"/>
        </w:trPr>
        <w:tc>
          <w:tcPr>
            <w:tcW w:w="2075" w:type="dxa"/>
            <w:shd w:val="clear" w:color="auto" w:fill="auto"/>
            <w:noWrap/>
            <w:hideMark/>
          </w:tcPr>
          <w:p w:rsidR="00CD20A6" w:rsidRPr="00CD20A6" w:rsidRDefault="00CD20A6" w:rsidP="00CD20A6">
            <w:pPr>
              <w:spacing w:after="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Model Architecture &amp; Evaluation Tier</w:t>
            </w:r>
          </w:p>
        </w:tc>
        <w:tc>
          <w:tcPr>
            <w:tcW w:w="2850" w:type="dxa"/>
            <w:shd w:val="clear" w:color="auto" w:fill="auto"/>
            <w:noWrap/>
            <w:hideMark/>
          </w:tcPr>
          <w:p w:rsidR="00CD20A6" w:rsidRPr="00CD20A6" w:rsidRDefault="00CD20A6" w:rsidP="00CD20A6">
            <w:pPr>
              <w:spacing w:after="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Observed Package Hallucination Rate</w:t>
            </w:r>
          </w:p>
        </w:tc>
        <w:tc>
          <w:tcPr>
            <w:tcW w:w="2557" w:type="dxa"/>
            <w:shd w:val="clear" w:color="auto" w:fill="auto"/>
            <w:noWrap/>
            <w:hideMark/>
          </w:tcPr>
          <w:p w:rsidR="00CD20A6" w:rsidRPr="00CD20A6" w:rsidRDefault="00CD20A6" w:rsidP="00CD20A6">
            <w:pPr>
              <w:spacing w:after="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Targeted Package Registry</w:t>
            </w:r>
          </w:p>
        </w:tc>
        <w:tc>
          <w:tcPr>
            <w:tcW w:w="3276" w:type="dxa"/>
            <w:shd w:val="clear" w:color="auto" w:fill="auto"/>
            <w:noWrap/>
            <w:hideMark/>
          </w:tcPr>
          <w:p w:rsidR="00CD20A6" w:rsidRPr="00CD20A6" w:rsidRDefault="00CD20A6" w:rsidP="00CD20A6">
            <w:pPr>
              <w:spacing w:after="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Primary Threat Vector &amp; Operational Risk</w:t>
            </w:r>
          </w:p>
        </w:tc>
      </w:tr>
      <w:tr w:rsidR="00CD20A6" w:rsidRPr="00CD20A6" w:rsidTr="00CD20A6">
        <w:trPr>
          <w:trHeight w:val="330"/>
        </w:trPr>
        <w:tc>
          <w:tcPr>
            <w:tcW w:w="207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Proprietary Frontier LLMs (GPT Series)</w:t>
            </w:r>
          </w:p>
        </w:tc>
        <w:tc>
          <w:tcPr>
            <w:tcW w:w="2850"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5.2% – 20.0% of recommended libraries </w:t>
            </w:r>
          </w:p>
        </w:tc>
        <w:tc>
          <w:tcPr>
            <w:tcW w:w="2557"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proofErr w:type="spellStart"/>
            <w:r w:rsidRPr="00CD20A6">
              <w:rPr>
                <w:rFonts w:ascii="Times New Roman" w:eastAsia="Times New Roman" w:hAnsi="Times New Roman"/>
                <w:color w:val="000000"/>
                <w:sz w:val="24"/>
                <w:szCs w:val="24"/>
              </w:rPr>
              <w:t>PyPI</w:t>
            </w:r>
            <w:proofErr w:type="spellEnd"/>
            <w:r w:rsidRPr="00CD20A6">
              <w:rPr>
                <w:rFonts w:ascii="Times New Roman" w:eastAsia="Times New Roman" w:hAnsi="Times New Roman"/>
                <w:color w:val="000000"/>
                <w:sz w:val="24"/>
                <w:szCs w:val="24"/>
              </w:rPr>
              <w:t xml:space="preserve"> (Python) and </w:t>
            </w:r>
            <w:proofErr w:type="spellStart"/>
            <w:r w:rsidRPr="00CD20A6">
              <w:rPr>
                <w:rFonts w:ascii="Times New Roman" w:eastAsia="Times New Roman" w:hAnsi="Times New Roman"/>
                <w:color w:val="000000"/>
                <w:sz w:val="24"/>
                <w:szCs w:val="24"/>
              </w:rPr>
              <w:t>npm</w:t>
            </w:r>
            <w:proofErr w:type="spellEnd"/>
            <w:r w:rsidRPr="00CD20A6">
              <w:rPr>
                <w:rFonts w:ascii="Times New Roman" w:eastAsia="Times New Roman" w:hAnsi="Times New Roman"/>
                <w:color w:val="000000"/>
                <w:sz w:val="24"/>
                <w:szCs w:val="24"/>
              </w:rPr>
              <w:t xml:space="preserve"> (JavaScript/Node) </w:t>
            </w:r>
          </w:p>
        </w:tc>
        <w:tc>
          <w:tcPr>
            <w:tcW w:w="3276"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proofErr w:type="spellStart"/>
            <w:r w:rsidRPr="00CD20A6">
              <w:rPr>
                <w:rFonts w:ascii="Times New Roman" w:eastAsia="Times New Roman" w:hAnsi="Times New Roman"/>
                <w:color w:val="000000"/>
                <w:sz w:val="24"/>
                <w:szCs w:val="24"/>
              </w:rPr>
              <w:t>Slopsquatting</w:t>
            </w:r>
            <w:proofErr w:type="spellEnd"/>
            <w:r w:rsidRPr="00CD20A6">
              <w:rPr>
                <w:rFonts w:ascii="Times New Roman" w:eastAsia="Times New Roman" w:hAnsi="Times New Roman"/>
                <w:color w:val="000000"/>
                <w:sz w:val="24"/>
                <w:szCs w:val="24"/>
              </w:rPr>
              <w:t xml:space="preserve">: Malicious actors register hallucinated strings to deploy payloads </w:t>
            </w:r>
          </w:p>
        </w:tc>
      </w:tr>
      <w:tr w:rsidR="00CD20A6" w:rsidRPr="00CD20A6" w:rsidTr="00CD20A6">
        <w:trPr>
          <w:trHeight w:val="330"/>
        </w:trPr>
        <w:tc>
          <w:tcPr>
            <w:tcW w:w="207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Open-Weight / Specialized </w:t>
            </w:r>
            <w:r w:rsidRPr="00CD20A6">
              <w:rPr>
                <w:rFonts w:ascii="Times New Roman" w:eastAsia="Times New Roman" w:hAnsi="Times New Roman"/>
                <w:color w:val="000000"/>
                <w:sz w:val="24"/>
                <w:szCs w:val="24"/>
              </w:rPr>
              <w:lastRenderedPageBreak/>
              <w:t>Models</w:t>
            </w:r>
          </w:p>
        </w:tc>
        <w:tc>
          <w:tcPr>
            <w:tcW w:w="2850"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lastRenderedPageBreak/>
              <w:t xml:space="preserve">21.7% – 64.5% of recommended libraries </w:t>
            </w:r>
          </w:p>
        </w:tc>
        <w:tc>
          <w:tcPr>
            <w:tcW w:w="2557"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Open-namespace registries without strict </w:t>
            </w:r>
            <w:r w:rsidRPr="00CD20A6">
              <w:rPr>
                <w:rFonts w:ascii="Times New Roman" w:eastAsia="Times New Roman" w:hAnsi="Times New Roman"/>
                <w:color w:val="000000"/>
                <w:sz w:val="24"/>
                <w:szCs w:val="24"/>
              </w:rPr>
              <w:lastRenderedPageBreak/>
              <w:t xml:space="preserve">publisher verification </w:t>
            </w:r>
          </w:p>
        </w:tc>
        <w:tc>
          <w:tcPr>
            <w:tcW w:w="3276"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lastRenderedPageBreak/>
              <w:t xml:space="preserve">Dependency confusion, </w:t>
            </w:r>
            <w:proofErr w:type="spellStart"/>
            <w:r w:rsidRPr="00CD20A6">
              <w:rPr>
                <w:rFonts w:ascii="Times New Roman" w:eastAsia="Times New Roman" w:hAnsi="Times New Roman"/>
                <w:color w:val="000000"/>
                <w:sz w:val="24"/>
                <w:szCs w:val="24"/>
              </w:rPr>
              <w:t>typosquatting</w:t>
            </w:r>
            <w:proofErr w:type="spellEnd"/>
            <w:r w:rsidRPr="00CD20A6">
              <w:rPr>
                <w:rFonts w:ascii="Times New Roman" w:eastAsia="Times New Roman" w:hAnsi="Times New Roman"/>
                <w:color w:val="000000"/>
                <w:sz w:val="24"/>
                <w:szCs w:val="24"/>
              </w:rPr>
              <w:t xml:space="preserve">, and arbitrary </w:t>
            </w:r>
            <w:r w:rsidRPr="00CD20A6">
              <w:rPr>
                <w:rFonts w:ascii="Times New Roman" w:eastAsia="Times New Roman" w:hAnsi="Times New Roman"/>
                <w:color w:val="000000"/>
                <w:sz w:val="24"/>
                <w:szCs w:val="24"/>
              </w:rPr>
              <w:lastRenderedPageBreak/>
              <w:t xml:space="preserve">build runner execution </w:t>
            </w:r>
          </w:p>
        </w:tc>
      </w:tr>
      <w:tr w:rsidR="00CD20A6" w:rsidRPr="00CD20A6" w:rsidTr="00CD20A6">
        <w:trPr>
          <w:trHeight w:val="330"/>
        </w:trPr>
        <w:tc>
          <w:tcPr>
            <w:tcW w:w="207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lastRenderedPageBreak/>
              <w:t xml:space="preserve">Empirical Baseline: </w:t>
            </w:r>
            <w:proofErr w:type="spellStart"/>
            <w:r w:rsidRPr="00CD20A6">
              <w:rPr>
                <w:rFonts w:ascii="Times New Roman" w:eastAsia="Times New Roman" w:hAnsi="Times New Roman"/>
                <w:color w:val="000000"/>
                <w:sz w:val="24"/>
                <w:szCs w:val="24"/>
              </w:rPr>
              <w:t>huggingface-cli</w:t>
            </w:r>
            <w:proofErr w:type="spellEnd"/>
          </w:p>
        </w:tc>
        <w:tc>
          <w:tcPr>
            <w:tcW w:w="2850"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30,000+ public package downloads in 90 days </w:t>
            </w:r>
          </w:p>
        </w:tc>
        <w:tc>
          <w:tcPr>
            <w:tcW w:w="2557"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Python Package Index (</w:t>
            </w:r>
            <w:proofErr w:type="spellStart"/>
            <w:r w:rsidRPr="00CD20A6">
              <w:rPr>
                <w:rFonts w:ascii="Times New Roman" w:eastAsia="Times New Roman" w:hAnsi="Times New Roman"/>
                <w:color w:val="000000"/>
                <w:sz w:val="24"/>
                <w:szCs w:val="24"/>
              </w:rPr>
              <w:t>PyPI</w:t>
            </w:r>
            <w:proofErr w:type="spellEnd"/>
            <w:r w:rsidRPr="00CD20A6">
              <w:rPr>
                <w:rFonts w:ascii="Times New Roman" w:eastAsia="Times New Roman" w:hAnsi="Times New Roman"/>
                <w:color w:val="000000"/>
                <w:sz w:val="24"/>
                <w:szCs w:val="24"/>
              </w:rPr>
              <w:t xml:space="preserve">) </w:t>
            </w:r>
          </w:p>
        </w:tc>
        <w:tc>
          <w:tcPr>
            <w:tcW w:w="3276"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Developers routinely merged and executed </w:t>
            </w:r>
            <w:proofErr w:type="spellStart"/>
            <w:r w:rsidRPr="00CD20A6">
              <w:rPr>
                <w:rFonts w:ascii="Times New Roman" w:eastAsia="Times New Roman" w:hAnsi="Times New Roman"/>
                <w:color w:val="000000"/>
                <w:sz w:val="24"/>
                <w:szCs w:val="24"/>
              </w:rPr>
              <w:t>untrusted</w:t>
            </w:r>
            <w:proofErr w:type="spellEnd"/>
            <w:r w:rsidRPr="00CD20A6">
              <w:rPr>
                <w:rFonts w:ascii="Times New Roman" w:eastAsia="Times New Roman" w:hAnsi="Times New Roman"/>
                <w:color w:val="000000"/>
                <w:sz w:val="24"/>
                <w:szCs w:val="24"/>
              </w:rPr>
              <w:t xml:space="preserve"> dependencies without audit </w:t>
            </w:r>
          </w:p>
        </w:tc>
      </w:tr>
    </w:tbl>
    <w:p w:rsidR="00CD20A6" w:rsidRPr="00CD20A6" w:rsidRDefault="00CD20A6" w:rsidP="00CD20A6">
      <w:pPr>
        <w:pStyle w:val="BodyText"/>
        <w:spacing w:before="240" w:beforeAutospacing="0"/>
      </w:pPr>
      <w:r w:rsidRPr="00CD20A6">
        <w:t>This behavior creates an attack vector known as “</w:t>
      </w:r>
      <w:proofErr w:type="spellStart"/>
      <w:r w:rsidRPr="00CD20A6">
        <w:t>slopsquatting</w:t>
      </w:r>
      <w:proofErr w:type="spellEnd"/>
      <w:r w:rsidRPr="00CD20A6">
        <w:t xml:space="preserve">” or package confusion (InfoWorld, 2025). Threat actors systematically query commercial LLMs to harvest high-frequency hallucinated package strings, register those exact identifiers on public registries like </w:t>
      </w:r>
      <w:proofErr w:type="spellStart"/>
      <w:r w:rsidRPr="00CD20A6">
        <w:t>npm</w:t>
      </w:r>
      <w:proofErr w:type="spellEnd"/>
      <w:r w:rsidRPr="00CD20A6">
        <w:t xml:space="preserve"> and </w:t>
      </w:r>
      <w:proofErr w:type="spellStart"/>
      <w:r w:rsidRPr="00CD20A6">
        <w:t>PyPI</w:t>
      </w:r>
      <w:proofErr w:type="spellEnd"/>
      <w:r w:rsidRPr="00CD20A6">
        <w:t>, and embed malicious payloads designed for remote code execution or credential theft (Echo AI, 2025). Unsuspecting developers merge the generated dependencies without verification, and automated CI/CD build agents execute the malicious package upon installation (NHISMG, 2025). Because the imported syntax appears idiomatic, automated linters and basic static analysis tools cannot identify the threat; only rigorous peer review verifying package registration dates, download counts, repository links, and cryptographic provenance can prevent downstream supply chain poisoning (NHISMG, 2025).</w:t>
      </w:r>
      <w:bookmarkStart w:id="14" w:name="X2b162c1fade1f676e14c139ce45881ecd826558"/>
      <w:bookmarkEnd w:id="13"/>
    </w:p>
    <w:p w:rsidR="00CD20A6" w:rsidRPr="00CD20A6" w:rsidRDefault="00CD20A6" w:rsidP="00CD20A6">
      <w:pPr>
        <w:pStyle w:val="Heading3"/>
        <w:spacing w:before="0" w:beforeAutospacing="0" w:after="240"/>
        <w:rPr>
          <w:b w:val="0"/>
          <w:bCs/>
          <w:i/>
          <w:iCs/>
        </w:rPr>
      </w:pPr>
      <w:r w:rsidRPr="00CD20A6">
        <w:rPr>
          <w:bCs/>
          <w:i/>
          <w:iCs/>
        </w:rPr>
        <w:t>4.4. Re-architecting Modern Code Review Workflows</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The empirical realities of automation bias, verification fatigue, and supply chain contamination require a structural redesign of peer review rather than its abandonment. High-performing engineering organizations address this by establishing a two-tier review process that balances automated analysis with focused human inspection (</w:t>
      </w:r>
      <w:proofErr w:type="spellStart"/>
      <w:r w:rsidRPr="00CD20A6">
        <w:rPr>
          <w:rFonts w:cs="Times New Roman"/>
          <w:sz w:val="24"/>
        </w:rPr>
        <w:t>Serebrenik</w:t>
      </w:r>
      <w:proofErr w:type="spellEnd"/>
      <w:r w:rsidRPr="00CD20A6">
        <w:rPr>
          <w:rFonts w:cs="Times New Roman"/>
          <w:sz w:val="24"/>
        </w:rPr>
        <w:t xml:space="preserve"> et al., 2024).</w:t>
      </w:r>
    </w:p>
    <w:p w:rsidR="00CD20A6" w:rsidRPr="00CD20A6" w:rsidRDefault="00CD20A6" w:rsidP="00CD20A6">
      <w:pPr>
        <w:pStyle w:val="BodyText"/>
        <w:spacing w:before="0" w:beforeAutospacing="0"/>
      </w:pPr>
      <w:r w:rsidRPr="00CD20A6">
        <w:t xml:space="preserve">In the initial tier, automated AI review agents and static analysis tools perform automated syntactic and structural triage. These tools evaluate code formatting, verify naming conventions, check linter rules, and run automated security scanners to eliminate low-level noise before human inspection begins (Awesome Code Reviews, 2025). In the second tier, human peer review focuses on high-order system concerns. Senior engineers review pull requests specifically for architectural alignment, domain logic accuracy, transaction boundaries, performance bottlenecks, and dependency validity (Open </w:t>
      </w:r>
      <w:proofErr w:type="spellStart"/>
      <w:r w:rsidRPr="00CD20A6">
        <w:t>Mercato</w:t>
      </w:r>
      <w:proofErr w:type="spellEnd"/>
      <w:r w:rsidRPr="00CD20A6">
        <w:t>, 2026). By offloading syntactic checks to automated systems, this approach preserves human cognitive capacity for evaluating architectural integrity, preventing automation bias from compromising the codebase (</w:t>
      </w:r>
      <w:proofErr w:type="spellStart"/>
      <w:r w:rsidRPr="00CD20A6">
        <w:t>Serebrenik</w:t>
      </w:r>
      <w:proofErr w:type="spellEnd"/>
      <w:r w:rsidRPr="00CD20A6">
        <w:t xml:space="preserve"> et al., 2024).</w:t>
      </w:r>
    </w:p>
    <w:p w:rsidR="00CD20A6" w:rsidRPr="00CD20A6" w:rsidRDefault="00CD20A6" w:rsidP="00CD20A6">
      <w:pPr>
        <w:pStyle w:val="Heading2"/>
        <w:spacing w:before="0" w:after="240" w:line="240" w:lineRule="auto"/>
        <w:jc w:val="both"/>
        <w:rPr>
          <w:rFonts w:ascii="Times New Roman" w:hAnsi="Times New Roman" w:cs="Times New Roman"/>
          <w:b w:val="0"/>
          <w:bCs w:val="0"/>
          <w:color w:val="auto"/>
          <w:sz w:val="28"/>
          <w:szCs w:val="24"/>
        </w:rPr>
      </w:pPr>
      <w:bookmarkStart w:id="15" w:name="Xbf16872925c55e42735009d2343ee508f9eb546"/>
      <w:bookmarkEnd w:id="10"/>
      <w:bookmarkEnd w:id="14"/>
      <w:r w:rsidRPr="00CD20A6">
        <w:rPr>
          <w:rFonts w:ascii="Times New Roman" w:hAnsi="Times New Roman" w:cs="Times New Roman"/>
          <w:color w:val="auto"/>
          <w:sz w:val="28"/>
          <w:szCs w:val="24"/>
        </w:rPr>
        <w:t>5. TEST-DRIVEN DEVELOPMENT AS A DETERMINISTIC ANCHOR</w:t>
      </w:r>
      <w:bookmarkStart w:id="16" w:name="X15722fe97bb94aa1c1e59e8709a9da6ca80de92"/>
    </w:p>
    <w:p w:rsidR="00CD20A6" w:rsidRPr="00CD20A6" w:rsidRDefault="00CD20A6" w:rsidP="00CD20A6">
      <w:pPr>
        <w:pStyle w:val="Heading3"/>
        <w:spacing w:before="0" w:beforeAutospacing="0" w:after="240"/>
        <w:rPr>
          <w:b w:val="0"/>
          <w:bCs/>
          <w:i/>
          <w:iCs/>
        </w:rPr>
      </w:pPr>
      <w:r w:rsidRPr="00CD20A6">
        <w:rPr>
          <w:bCs/>
          <w:i/>
          <w:iCs/>
        </w:rPr>
        <w:t xml:space="preserve">5.1. The Stochastic Generation </w:t>
      </w:r>
      <w:proofErr w:type="gramStart"/>
      <w:r w:rsidRPr="00CD20A6">
        <w:rPr>
          <w:bCs/>
          <w:i/>
          <w:iCs/>
        </w:rPr>
        <w:t>Versus</w:t>
      </w:r>
      <w:proofErr w:type="gramEnd"/>
      <w:r w:rsidRPr="00CD20A6">
        <w:rPr>
          <w:bCs/>
          <w:i/>
          <w:iCs/>
        </w:rPr>
        <w:t xml:space="preserve"> Deterministic Requirement Dilemma</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The primary technical challenge of incorporating generative AI into software construction is the fundamental mismatch between stochastic code synthesis and the deterministic requirements of production software (</w:t>
      </w:r>
      <w:proofErr w:type="spellStart"/>
      <w:r w:rsidRPr="00CD20A6">
        <w:rPr>
          <w:rFonts w:cs="Times New Roman"/>
          <w:sz w:val="24"/>
        </w:rPr>
        <w:t>Farrag</w:t>
      </w:r>
      <w:proofErr w:type="spellEnd"/>
      <w:r w:rsidRPr="00CD20A6">
        <w:rPr>
          <w:rFonts w:cs="Times New Roman"/>
          <w:sz w:val="24"/>
        </w:rPr>
        <w:t>, 2026). Large language models are non-deterministic, probabilistic systems: identical natural language prompts can yield divergent code implementations across separate inference runs due to temperature sampling and floating-point non-determinism across parallelized hardware (</w:t>
      </w:r>
      <w:proofErr w:type="spellStart"/>
      <w:r w:rsidRPr="00CD20A6">
        <w:rPr>
          <w:rFonts w:cs="Times New Roman"/>
          <w:sz w:val="24"/>
        </w:rPr>
        <w:t>CodeRabbit</w:t>
      </w:r>
      <w:proofErr w:type="spellEnd"/>
      <w:r w:rsidRPr="00CD20A6">
        <w:rPr>
          <w:rFonts w:cs="Times New Roman"/>
          <w:sz w:val="24"/>
        </w:rPr>
        <w:t>, 2026). In contrast, enterprise software requires predictable state transitions, strict interface stability, and deterministic failure recovery (</w:t>
      </w:r>
      <w:proofErr w:type="spellStart"/>
      <w:r w:rsidRPr="00CD20A6">
        <w:rPr>
          <w:rFonts w:cs="Times New Roman"/>
          <w:sz w:val="24"/>
        </w:rPr>
        <w:t>Farrag</w:t>
      </w:r>
      <w:proofErr w:type="spellEnd"/>
      <w:r w:rsidRPr="00CD20A6">
        <w:rPr>
          <w:rFonts w:cs="Times New Roman"/>
          <w:sz w:val="24"/>
        </w:rPr>
        <w:t>, 2026).</w:t>
      </w:r>
    </w:p>
    <w:p w:rsidR="00CD20A6" w:rsidRPr="00CD20A6" w:rsidRDefault="00CD20A6" w:rsidP="00CD20A6">
      <w:pPr>
        <w:pStyle w:val="BodyText"/>
        <w:spacing w:before="0" w:beforeAutospacing="0"/>
      </w:pPr>
      <w:r w:rsidRPr="00CD20A6">
        <w:t>In this operating environment, Test-Driven Development (TDD)—the practice of authoring executable assertions before writing functional implementations—becomes an essential governance harness (</w:t>
      </w:r>
      <w:proofErr w:type="spellStart"/>
      <w:r w:rsidRPr="00CD20A6">
        <w:t>Farrag</w:t>
      </w:r>
      <w:proofErr w:type="spellEnd"/>
      <w:r w:rsidRPr="00CD20A6">
        <w:t>, 2026). In manual software development, TDD served primarily as a cognitive framework to help engineers modularize designs and decouple dependencies. In an AI-augmented environment, TDD evolves into a formal constraint harness (</w:t>
      </w:r>
      <w:proofErr w:type="spellStart"/>
      <w:r w:rsidRPr="00CD20A6">
        <w:t>Farrag</w:t>
      </w:r>
      <w:proofErr w:type="spellEnd"/>
      <w:r w:rsidRPr="00CD20A6">
        <w:t>, 2026). By defining test suites prior to code generation, engineers establish unambiguous specifications that bound the model’s search space, converting unconstrained token generation into a bounded optimization problem (Benchmark Research Group, 2025).</w:t>
      </w:r>
      <w:bookmarkStart w:id="17" w:name="X3017e0de403b04056bb6cc30ed1f57f4896125c"/>
      <w:bookmarkEnd w:id="16"/>
    </w:p>
    <w:p w:rsidR="00CD20A6" w:rsidRPr="00CD20A6" w:rsidRDefault="00CD20A6" w:rsidP="00CD20A6">
      <w:pPr>
        <w:pStyle w:val="BodyText"/>
        <w:spacing w:before="0" w:beforeAutospacing="0"/>
      </w:pPr>
      <w:r w:rsidRPr="00CD20A6">
        <w:t xml:space="preserve">Figure 3 contrasts the circular logic of code-first generation with the bounding mechanism of test-first development. It shows how post-hoc AI tests trivially confirm existing defects by conditioning on faulty code, whereas human-authored Test-Driven Development (TDD) provides an immutable, objective evaluation </w:t>
      </w:r>
      <w:r w:rsidRPr="00CD20A6">
        <w:lastRenderedPageBreak/>
        <w:t>function with an automated feedback loop for autonomous error correction.</w:t>
      </w:r>
    </w:p>
    <w:p w:rsidR="00CD20A6" w:rsidRPr="00CD20A6" w:rsidRDefault="00CD20A6" w:rsidP="00CD20A6">
      <w:pPr>
        <w:pStyle w:val="Heading3"/>
        <w:spacing w:before="0" w:beforeAutospacing="0" w:after="240"/>
        <w:rPr>
          <w:b w:val="0"/>
          <w:bCs/>
          <w:i/>
          <w:iCs/>
        </w:rPr>
      </w:pPr>
      <w:r w:rsidRPr="00CD20A6">
        <w:rPr>
          <w:b w:val="0"/>
          <w:bCs/>
          <w:i/>
          <w:iCs/>
          <w:noProof/>
          <w:lang w:bidi="hi-IN"/>
        </w:rPr>
        <w:drawing>
          <wp:inline distT="0" distB="0" distL="0" distR="0">
            <wp:extent cx="5943600" cy="3290570"/>
            <wp:effectExtent l="0" t="0" r="0" b="0"/>
            <wp:docPr id="1633737327" name="Picture 1"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737327" name="Picture 1" descr="A screenshot of a diagram&#10;&#10;Description automatically generated"/>
                    <pic:cNvPicPr/>
                  </pic:nvPicPr>
                  <pic:blipFill>
                    <a:blip r:embed="rId11" cstate="print"/>
                    <a:stretch>
                      <a:fillRect/>
                    </a:stretch>
                  </pic:blipFill>
                  <pic:spPr>
                    <a:xfrm>
                      <a:off x="0" y="0"/>
                      <a:ext cx="5943600" cy="3290570"/>
                    </a:xfrm>
                    <a:prstGeom prst="rect">
                      <a:avLst/>
                    </a:prstGeom>
                  </pic:spPr>
                </pic:pic>
              </a:graphicData>
            </a:graphic>
          </wp:inline>
        </w:drawing>
      </w:r>
      <w:r w:rsidRPr="00CD20A6">
        <w:rPr>
          <w:bCs/>
          <w:i/>
          <w:iCs/>
        </w:rPr>
        <w:t>,</w:t>
      </w:r>
    </w:p>
    <w:p w:rsidR="00CD20A6" w:rsidRPr="00CD20A6" w:rsidRDefault="00CD20A6" w:rsidP="00CD20A6">
      <w:pPr>
        <w:pStyle w:val="BodyText"/>
        <w:spacing w:before="0" w:beforeAutospacing="0"/>
      </w:pPr>
      <w:r w:rsidRPr="00CD20A6">
        <w:rPr>
          <w:b/>
          <w:bCs/>
        </w:rPr>
        <w:t>Figure 3:</w:t>
      </w:r>
      <w:r w:rsidRPr="00CD20A6">
        <w:t xml:space="preserve"> Human-Led TDD vs. Tautological Post-Hoc Test Synthesis</w:t>
      </w:r>
    </w:p>
    <w:p w:rsidR="00CD20A6" w:rsidRPr="00CD20A6" w:rsidRDefault="00CD20A6" w:rsidP="00CD20A6">
      <w:pPr>
        <w:pStyle w:val="Heading3"/>
        <w:spacing w:before="0" w:beforeAutospacing="0" w:after="240"/>
        <w:rPr>
          <w:b w:val="0"/>
          <w:bCs/>
          <w:i/>
          <w:iCs/>
        </w:rPr>
      </w:pPr>
      <w:r w:rsidRPr="00CD20A6">
        <w:rPr>
          <w:bCs/>
          <w:i/>
          <w:iCs/>
        </w:rPr>
        <w:t>5.2. Executable Specifications as Objective Functions</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 xml:space="preserve">Recent research benchmarks and </w:t>
      </w:r>
      <w:proofErr w:type="spellStart"/>
      <w:r w:rsidRPr="00CD20A6">
        <w:rPr>
          <w:rFonts w:cs="Times New Roman"/>
          <w:sz w:val="24"/>
        </w:rPr>
        <w:t>agentic</w:t>
      </w:r>
      <w:proofErr w:type="spellEnd"/>
      <w:r w:rsidRPr="00CD20A6">
        <w:rPr>
          <w:rFonts w:cs="Times New Roman"/>
          <w:sz w:val="24"/>
        </w:rPr>
        <w:t xml:space="preserve"> evaluations demonstrate that generative models produce significantly more reliable code when guided by unit tests rather than natural language instructions (Rosa, 2025). Natural language specifications are prone to semantic ambiguity, omitted assumptions, and linguistic misalignment (Benchmark Research Group, 2025). Unit tests, expressed as executable assertions, provide unambiguous boundary conditions.</w:t>
      </w:r>
    </w:p>
    <w:p w:rsidR="00CD20A6" w:rsidRPr="00CD20A6" w:rsidRDefault="00CD20A6" w:rsidP="00CD20A6">
      <w:pPr>
        <w:pStyle w:val="BodyText"/>
        <w:spacing w:before="0" w:beforeAutospacing="0"/>
      </w:pPr>
      <w:r w:rsidRPr="00CD20A6">
        <w:t xml:space="preserve">The </w:t>
      </w:r>
      <w:proofErr w:type="spellStart"/>
      <w:r w:rsidRPr="00CD20A6">
        <w:t>AlphaCodium</w:t>
      </w:r>
      <w:proofErr w:type="spellEnd"/>
      <w:r w:rsidRPr="00CD20A6">
        <w:t xml:space="preserve"> architecture established that when LLMs operate within a test-driven iterative loop—generating test hypotheses, executing code against those tests, and processing runtime feedback—their problem-solving capacity on competitive programming tasks increases substantially compared to direct natural language prompting (Rosa, 2025). Similarly, the WebApp1K and TDD-Bench-Verified benchmark evaluations demonstrated that supplying unit tests within the model’s context window bridges the gap between natural language prompts and functional code (Benchmark Research Group, 2025). The pre-authored test suite serves as the objective function for code generation:</w:t>
      </w:r>
    </w:p>
    <w:p w:rsidR="00CD20A6" w:rsidRPr="00CD20A6" w:rsidRDefault="008A10C7" w:rsidP="00CD20A6">
      <w:pPr>
        <w:pStyle w:val="BodyText"/>
        <w:spacing w:before="0" w:beforeAutospacing="0"/>
      </w:pPr>
      <m:oMathPara>
        <m:oMath>
          <m:limLow>
            <m:limLowPr>
              <m:ctrlPr>
                <w:rPr>
                  <w:rFonts w:ascii="Cambria Math" w:hAnsi="Cambria Math"/>
                </w:rPr>
              </m:ctrlPr>
            </m:limLowPr>
            <m:e>
              <m:r>
                <m:rPr>
                  <m:sty m:val="p"/>
                </m:rPr>
                <w:rPr>
                  <w:rFonts w:ascii="Cambria Math"/>
                </w:rPr>
                <m:t>min</m:t>
              </m:r>
            </m:e>
            <m:lim>
              <m:r>
                <w:rPr>
                  <w:rFonts w:ascii="Cambria Math" w:hAnsi="Cambria Math"/>
                </w:rPr>
                <m:t>θ</m:t>
              </m:r>
            </m:lim>
          </m:limLow>
          <m:sSub>
            <m:sSubPr>
              <m:ctrlPr>
                <w:rPr>
                  <w:rFonts w:ascii="Cambria Math" w:hAnsi="Cambria Math"/>
                </w:rPr>
              </m:ctrlPr>
            </m:sSubPr>
            <m:e>
              <m:r>
                <m:rPr>
                  <m:scr m:val="script"/>
                  <m:sty m:val="p"/>
                </m:rPr>
                <w:rPr>
                  <w:rFonts w:ascii="Cambria Math"/>
                </w:rPr>
                <m:t>L</m:t>
              </m:r>
            </m:e>
            <m:sub>
              <m:r>
                <m:rPr>
                  <m:nor/>
                </m:rPr>
                <m:t>semantic</m:t>
              </m:r>
            </m:sub>
          </m:sSub>
          <m:r>
            <m:rPr>
              <m:sty m:val="p"/>
            </m:rPr>
            <w:rPr>
              <w:rFonts w:ascii="Cambria Math"/>
            </w:rPr>
            <m:t>(</m:t>
          </m:r>
          <m:sSub>
            <m:sSubPr>
              <m:ctrlPr>
                <w:rPr>
                  <w:rFonts w:ascii="Cambria Math" w:hAnsi="Cambria Math"/>
                </w:rPr>
              </m:ctrlPr>
            </m:sSubPr>
            <m:e>
              <m:r>
                <m:rPr>
                  <m:scr m:val="script"/>
                  <m:sty m:val="p"/>
                </m:rPr>
                <w:rPr>
                  <w:rFonts w:ascii="Cambria Math" w:hAnsi="Cambria Math"/>
                </w:rPr>
                <m:t>C</m:t>
              </m:r>
            </m:e>
            <m:sub>
              <m:r>
                <m:rPr>
                  <m:nor/>
                </m:rPr>
                <m:t>gen</m:t>
              </m:r>
            </m:sub>
          </m:sSub>
          <m:r>
            <m:rPr>
              <m:sty m:val="p"/>
            </m:rPr>
            <w:rPr>
              <w:rFonts w:ascii="Cambria Math"/>
            </w:rPr>
            <m:t>,</m:t>
          </m:r>
          <m:r>
            <m:rPr>
              <m:scr m:val="script"/>
              <m:sty m:val="p"/>
            </m:rPr>
            <w:rPr>
              <w:rFonts w:ascii="Cambria Math" w:hAnsi="Cambria Math"/>
            </w:rPr>
            <m:t>S</m:t>
          </m:r>
          <m:r>
            <m:rPr>
              <m:sty m:val="p"/>
            </m:rPr>
            <w:rPr>
              <w:rFonts w:ascii="Cambria Math"/>
            </w:rPr>
            <m:t>)</m:t>
          </m:r>
          <m:r>
            <w:rPr>
              <w:rFonts w:ascii="Cambria Math" w:hAnsi="Cambria Math"/>
            </w:rPr>
            <m:t> </m:t>
          </m:r>
          <m:r>
            <m:rPr>
              <m:nor/>
            </m:rPr>
            <m:t>subject to</m:t>
          </m:r>
          <m:r>
            <w:rPr>
              <w:rFonts w:ascii="Cambria Math" w:hAnsi="Cambria Math"/>
            </w:rPr>
            <m:t> </m:t>
          </m:r>
          <m:r>
            <m:rPr>
              <m:sty m:val="p"/>
            </m:rPr>
            <w:rPr>
              <w:rFonts w:ascii="Cambria Math" w:hAnsi="Cambria Math"/>
            </w:rPr>
            <m:t>∀</m:t>
          </m:r>
          <m:r>
            <w:rPr>
              <w:rFonts w:ascii="Cambria Math" w:hAnsi="Cambria Math"/>
            </w:rPr>
            <m:t>t</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T</m:t>
              </m:r>
            </m:e>
            <m:sub>
              <m:r>
                <m:rPr>
                  <m:nor/>
                </m:rPr>
                <m:t>pre</m:t>
              </m:r>
            </m:sub>
          </m:sSub>
          <m:r>
            <m:rPr>
              <m:sty m:val="p"/>
            </m:rPr>
            <w:rPr>
              <w:rFonts w:ascii="Cambria Math"/>
            </w:rPr>
            <m:t>,</m:t>
          </m:r>
          <m:r>
            <w:rPr>
              <w:rFonts w:ascii="Cambria Math"/>
            </w:rPr>
            <m:t> </m:t>
          </m:r>
          <m:r>
            <m:rPr>
              <m:nor/>
            </m:rPr>
            <m:t>Exec</m:t>
          </m:r>
          <m:r>
            <m:rPr>
              <m:sty m:val="p"/>
            </m:rPr>
            <w:rPr>
              <w:rFonts w:ascii="Cambria Math"/>
            </w:rPr>
            <m:t>(</m:t>
          </m:r>
          <m:sSub>
            <m:sSubPr>
              <m:ctrlPr>
                <w:rPr>
                  <w:rFonts w:ascii="Cambria Math" w:hAnsi="Cambria Math"/>
                </w:rPr>
              </m:ctrlPr>
            </m:sSubPr>
            <m:e>
              <m:r>
                <m:rPr>
                  <m:scr m:val="script"/>
                  <m:sty m:val="p"/>
                </m:rPr>
                <w:rPr>
                  <w:rFonts w:ascii="Cambria Math" w:hAnsi="Cambria Math"/>
                </w:rPr>
                <m:t>C</m:t>
              </m:r>
            </m:e>
            <m:sub>
              <m:r>
                <m:rPr>
                  <m:nor/>
                </m:rPr>
                <m:t>gen</m:t>
              </m:r>
            </m:sub>
          </m:sSub>
          <m:r>
            <m:rPr>
              <m:sty m:val="p"/>
            </m:rPr>
            <w:rPr>
              <w:rFonts w:ascii="Cambria Math"/>
            </w:rPr>
            <m:t>,</m:t>
          </m:r>
          <m:r>
            <w:rPr>
              <w:rFonts w:ascii="Cambria Math" w:hAnsi="Cambria Math"/>
            </w:rPr>
            <m:t>t</m:t>
          </m:r>
          <m:r>
            <m:rPr>
              <m:sty m:val="p"/>
            </m:rPr>
            <w:rPr>
              <w:rFonts w:ascii="Cambria Math"/>
            </w:rPr>
            <m:t>)=</m:t>
          </m:r>
          <m:r>
            <m:rPr>
              <m:nor/>
            </m:rPr>
            <m:t>PASS</m:t>
          </m:r>
        </m:oMath>
      </m:oMathPara>
    </w:p>
    <w:p w:rsidR="00CD20A6" w:rsidRPr="00CD20A6" w:rsidRDefault="00CD20A6" w:rsidP="00CD20A6">
      <w:pPr>
        <w:pStyle w:val="FirstParagraph"/>
        <w:spacing w:after="240" w:line="240" w:lineRule="auto"/>
        <w:jc w:val="both"/>
        <w:rPr>
          <w:rFonts w:cs="Times New Roman"/>
          <w:sz w:val="24"/>
        </w:rPr>
      </w:pPr>
      <w:proofErr w:type="gramStart"/>
      <w:r w:rsidRPr="00CD20A6">
        <w:rPr>
          <w:rFonts w:cs="Times New Roman"/>
          <w:sz w:val="24"/>
        </w:rPr>
        <w:t>where</w:t>
      </w:r>
      <w:proofErr w:type="gramEnd"/>
      <w:r w:rsidRPr="00CD20A6">
        <w:rPr>
          <w:rFonts w:cs="Times New Roman"/>
          <w:sz w:val="24"/>
        </w:rPr>
        <w:t xml:space="preserve"> </w:t>
      </w:r>
      <m:oMath>
        <m:sSub>
          <m:sSubPr>
            <m:ctrlPr>
              <w:rPr>
                <w:rFonts w:ascii="Cambria Math" w:hAnsi="Cambria Math" w:cs="Times New Roman"/>
                <w:sz w:val="24"/>
              </w:rPr>
            </m:ctrlPr>
          </m:sSubPr>
          <m:e>
            <m:r>
              <m:rPr>
                <m:scr m:val="script"/>
                <m:sty m:val="p"/>
              </m:rPr>
              <w:rPr>
                <w:rFonts w:ascii="Cambria Math" w:hAnsi="Cambria Math" w:cs="Times New Roman"/>
                <w:sz w:val="24"/>
              </w:rPr>
              <m:t>C</m:t>
            </m:r>
          </m:e>
          <m:sub>
            <m:r>
              <m:rPr>
                <m:nor/>
              </m:rPr>
              <w:rPr>
                <w:rFonts w:cs="Times New Roman"/>
                <w:sz w:val="24"/>
              </w:rPr>
              <m:t>gen</m:t>
            </m:r>
          </m:sub>
        </m:sSub>
      </m:oMath>
      <w:r w:rsidRPr="00CD20A6">
        <w:rPr>
          <w:rFonts w:cs="Times New Roman"/>
          <w:sz w:val="24"/>
        </w:rPr>
        <w:t xml:space="preserve"> represents the generated implementation candidate, </w:t>
      </w:r>
      <m:oMath>
        <m:r>
          <m:rPr>
            <m:scr m:val="script"/>
            <m:sty m:val="p"/>
          </m:rPr>
          <w:rPr>
            <w:rFonts w:ascii="Cambria Math" w:hAnsi="Cambria Math" w:cs="Times New Roman"/>
            <w:sz w:val="24"/>
          </w:rPr>
          <m:t>S</m:t>
        </m:r>
      </m:oMath>
      <w:r w:rsidRPr="00CD20A6">
        <w:rPr>
          <w:rFonts w:cs="Times New Roman"/>
          <w:sz w:val="24"/>
        </w:rPr>
        <w:t xml:space="preserve"> denotes the user prompt, and </w:t>
      </w:r>
      <m:oMath>
        <m:sSub>
          <m:sSubPr>
            <m:ctrlPr>
              <w:rPr>
                <w:rFonts w:ascii="Cambria Math" w:hAnsi="Cambria Math" w:cs="Times New Roman"/>
                <w:sz w:val="24"/>
              </w:rPr>
            </m:ctrlPr>
          </m:sSubPr>
          <m:e>
            <m:r>
              <m:rPr>
                <m:scr m:val="script"/>
                <m:sty m:val="p"/>
              </m:rPr>
              <w:rPr>
                <w:rFonts w:ascii="Cambria Math" w:hAnsi="Cambria Math" w:cs="Times New Roman"/>
                <w:sz w:val="24"/>
              </w:rPr>
              <m:t>T</m:t>
            </m:r>
          </m:e>
          <m:sub>
            <m:r>
              <m:rPr>
                <m:nor/>
              </m:rPr>
              <w:rPr>
                <w:rFonts w:cs="Times New Roman"/>
                <w:sz w:val="24"/>
              </w:rPr>
              <m:t>pre</m:t>
            </m:r>
          </m:sub>
        </m:sSub>
      </m:oMath>
      <w:r w:rsidRPr="00CD20A6">
        <w:rPr>
          <w:rFonts w:cs="Times New Roman"/>
          <w:sz w:val="24"/>
        </w:rPr>
        <w:t xml:space="preserve"> represents the pre-authored, human-designed test suite enforcing system invariants.</w:t>
      </w:r>
    </w:p>
    <w:p w:rsidR="00CD20A6" w:rsidRDefault="00CD20A6" w:rsidP="00CD20A6">
      <w:pPr>
        <w:pStyle w:val="BodyText"/>
        <w:spacing w:before="0" w:beforeAutospacing="0"/>
      </w:pPr>
      <w:r w:rsidRPr="00CD20A6">
        <w:t>By defining executable constraints upfront, developers prevent the model from introducing unnecessary dependencies, while ensuring that unexpected edge cases, null states, and boundary conditions are handled before code is merged (Benchmark Research Group, 2025). Furthermore, pre-authored tests provide an objective harness that allows autonomous coding agents to iterate, execute, parse stack traces, and self-correct without human intervention, ensuring that generated software satisfies functional requirements (Rosa, 2025).</w:t>
      </w:r>
      <w:bookmarkStart w:id="18" w:name="X6d565552ed61318f694675989edec9614e9eae1"/>
      <w:bookmarkEnd w:id="17"/>
    </w:p>
    <w:p w:rsidR="00CD20A6" w:rsidRPr="00CD20A6" w:rsidRDefault="00CD20A6" w:rsidP="00CD20A6">
      <w:pPr>
        <w:pStyle w:val="BodyText"/>
        <w:spacing w:before="0" w:beforeAutospacing="0"/>
      </w:pPr>
      <w:r w:rsidRPr="00CD20A6">
        <w:rPr>
          <w:b/>
          <w:bCs/>
          <w:i/>
          <w:iCs/>
        </w:rPr>
        <w:t>5.3. The Fallacy and Peril of Post-Hoc Test Synthesis</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 xml:space="preserve">A frequent </w:t>
      </w:r>
      <w:proofErr w:type="spellStart"/>
      <w:r w:rsidRPr="00CD20A6">
        <w:rPr>
          <w:rFonts w:cs="Times New Roman"/>
          <w:sz w:val="24"/>
        </w:rPr>
        <w:t>antipattern</w:t>
      </w:r>
      <w:proofErr w:type="spellEnd"/>
      <w:r w:rsidRPr="00CD20A6">
        <w:rPr>
          <w:rFonts w:cs="Times New Roman"/>
          <w:sz w:val="24"/>
        </w:rPr>
        <w:t xml:space="preserve"> in AI-assisted workflows is reversing the testing sequence: prompting an LLM to generate functional code first, and subsequently asking the model to write unit tests for its own output (</w:t>
      </w:r>
      <w:proofErr w:type="spellStart"/>
      <w:r w:rsidRPr="00CD20A6">
        <w:rPr>
          <w:rFonts w:cs="Times New Roman"/>
          <w:sz w:val="24"/>
        </w:rPr>
        <w:t>Hirzel</w:t>
      </w:r>
      <w:proofErr w:type="spellEnd"/>
      <w:r w:rsidRPr="00CD20A6">
        <w:rPr>
          <w:rFonts w:cs="Times New Roman"/>
          <w:sz w:val="24"/>
        </w:rPr>
        <w:t xml:space="preserve"> </w:t>
      </w:r>
      <w:r w:rsidRPr="00CD20A6">
        <w:rPr>
          <w:rFonts w:cs="Times New Roman"/>
          <w:sz w:val="24"/>
        </w:rPr>
        <w:lastRenderedPageBreak/>
        <w:t>et al., 2024). This post-hoc approach creates a false sense of security through tautological verification (AI Verification Collaborative, 2025).</w:t>
      </w:r>
    </w:p>
    <w:p w:rsidR="00CD20A6" w:rsidRPr="00CD20A6" w:rsidRDefault="00CD20A6" w:rsidP="00CD20A6">
      <w:pPr>
        <w:pStyle w:val="BodyText"/>
        <w:spacing w:before="0" w:beforeAutospacing="0"/>
      </w:pPr>
      <w:r w:rsidRPr="00CD20A6">
        <w:t xml:space="preserve">Table 4 contrasts the risks of generating tests after implementation against the rigor of writing tests before generating code. It evaluates both paradigms across verification logic, edge-case sensitivity, </w:t>
      </w:r>
      <w:proofErr w:type="gramStart"/>
      <w:r w:rsidRPr="00CD20A6">
        <w:t>mutation</w:t>
      </w:r>
      <w:proofErr w:type="gramEnd"/>
      <w:r w:rsidRPr="00CD20A6">
        <w:t xml:space="preserve"> testing performance, developer cognitive ownership, and dependency provenance validation.</w:t>
      </w:r>
    </w:p>
    <w:p w:rsidR="00CD20A6" w:rsidRPr="00CD20A6" w:rsidRDefault="00CD20A6" w:rsidP="00CD20A6">
      <w:pPr>
        <w:pStyle w:val="BodyText"/>
        <w:spacing w:before="0" w:beforeAutospacing="0"/>
      </w:pPr>
      <w:r w:rsidRPr="00CD20A6">
        <w:t>Table 4: Comparative Analysis of Post-Hoc AI Test Synthesis versus Human-Led Test-Driven Development</w:t>
      </w:r>
    </w:p>
    <w:tbl>
      <w:tblPr>
        <w:tblW w:w="937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3"/>
        <w:gridCol w:w="4186"/>
        <w:gridCol w:w="4265"/>
      </w:tblGrid>
      <w:tr w:rsidR="00CD20A6" w:rsidRPr="00CD20A6" w:rsidTr="00CD20A6">
        <w:trPr>
          <w:trHeight w:val="330"/>
        </w:trPr>
        <w:tc>
          <w:tcPr>
            <w:tcW w:w="924" w:type="dxa"/>
            <w:shd w:val="clear" w:color="auto" w:fill="auto"/>
            <w:noWrap/>
            <w:hideMark/>
          </w:tcPr>
          <w:p w:rsidR="00CD20A6" w:rsidRPr="00CD20A6" w:rsidRDefault="00CD20A6" w:rsidP="00CD20A6">
            <w:pPr>
              <w:spacing w:after="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Architectural Dimension</w:t>
            </w:r>
          </w:p>
        </w:tc>
        <w:tc>
          <w:tcPr>
            <w:tcW w:w="4186" w:type="dxa"/>
            <w:shd w:val="clear" w:color="auto" w:fill="auto"/>
            <w:noWrap/>
            <w:hideMark/>
          </w:tcPr>
          <w:p w:rsidR="00CD20A6" w:rsidRPr="00CD20A6" w:rsidRDefault="00CD20A6" w:rsidP="00CD20A6">
            <w:pPr>
              <w:spacing w:after="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Post-Hoc AI Test Generation (Code-First)</w:t>
            </w:r>
          </w:p>
        </w:tc>
        <w:tc>
          <w:tcPr>
            <w:tcW w:w="4265" w:type="dxa"/>
            <w:shd w:val="clear" w:color="auto" w:fill="auto"/>
            <w:noWrap/>
            <w:hideMark/>
          </w:tcPr>
          <w:p w:rsidR="00CD20A6" w:rsidRPr="00CD20A6" w:rsidRDefault="00CD20A6" w:rsidP="00CD20A6">
            <w:pPr>
              <w:spacing w:after="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Human-Led Test-Driven Development (Test-First)</w:t>
            </w:r>
          </w:p>
        </w:tc>
      </w:tr>
      <w:tr w:rsidR="00CD20A6" w:rsidRPr="00CD20A6" w:rsidTr="00CD20A6">
        <w:trPr>
          <w:trHeight w:val="330"/>
        </w:trPr>
        <w:tc>
          <w:tcPr>
            <w:tcW w:w="924"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Verification Logic</w:t>
            </w:r>
          </w:p>
        </w:tc>
        <w:tc>
          <w:tcPr>
            <w:tcW w:w="4186"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Tautological / Circular: Asserts what code </w:t>
            </w:r>
            <w:r w:rsidRPr="00CD20A6">
              <w:rPr>
                <w:rFonts w:ascii="Times New Roman" w:eastAsia="Times New Roman" w:hAnsi="Times New Roman"/>
                <w:i/>
                <w:iCs/>
                <w:color w:val="000000"/>
                <w:sz w:val="24"/>
                <w:szCs w:val="24"/>
              </w:rPr>
              <w:t>currently does</w:t>
            </w:r>
            <w:r w:rsidRPr="00CD20A6">
              <w:rPr>
                <w:rFonts w:ascii="Times New Roman" w:eastAsia="Times New Roman" w:hAnsi="Times New Roman"/>
                <w:color w:val="000000"/>
                <w:sz w:val="24"/>
                <w:szCs w:val="24"/>
              </w:rPr>
              <w:t xml:space="preserve">, not what it </w:t>
            </w:r>
            <w:r w:rsidRPr="00CD20A6">
              <w:rPr>
                <w:rFonts w:ascii="Times New Roman" w:eastAsia="Times New Roman" w:hAnsi="Times New Roman"/>
                <w:i/>
                <w:iCs/>
                <w:color w:val="000000"/>
                <w:sz w:val="24"/>
                <w:szCs w:val="24"/>
              </w:rPr>
              <w:t>ought to do</w:t>
            </w:r>
            <w:r w:rsidRPr="00CD20A6">
              <w:rPr>
                <w:rFonts w:ascii="Times New Roman" w:eastAsia="Times New Roman" w:hAnsi="Times New Roman"/>
                <w:color w:val="000000"/>
                <w:sz w:val="24"/>
                <w:szCs w:val="24"/>
              </w:rPr>
              <w:t xml:space="preserve"> (AI Verification Collaborative, 2025)</w:t>
            </w:r>
          </w:p>
        </w:tc>
        <w:tc>
          <w:tcPr>
            <w:tcW w:w="426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Contractual / Normative: Establishes independent business rules and invariant criteria (</w:t>
            </w:r>
            <w:proofErr w:type="spellStart"/>
            <w:r w:rsidRPr="00CD20A6">
              <w:rPr>
                <w:rFonts w:ascii="Times New Roman" w:eastAsia="Times New Roman" w:hAnsi="Times New Roman"/>
                <w:color w:val="000000"/>
                <w:sz w:val="24"/>
                <w:szCs w:val="24"/>
              </w:rPr>
              <w:t>Farrag</w:t>
            </w:r>
            <w:proofErr w:type="spellEnd"/>
            <w:r w:rsidRPr="00CD20A6">
              <w:rPr>
                <w:rFonts w:ascii="Times New Roman" w:eastAsia="Times New Roman" w:hAnsi="Times New Roman"/>
                <w:color w:val="000000"/>
                <w:sz w:val="24"/>
                <w:szCs w:val="24"/>
              </w:rPr>
              <w:t xml:space="preserve">, 2026) </w:t>
            </w:r>
          </w:p>
        </w:tc>
      </w:tr>
      <w:tr w:rsidR="00CD20A6" w:rsidRPr="00CD20A6" w:rsidTr="00CD20A6">
        <w:trPr>
          <w:trHeight w:val="330"/>
        </w:trPr>
        <w:tc>
          <w:tcPr>
            <w:tcW w:w="924"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Edge-Case Sensitivity</w:t>
            </w:r>
          </w:p>
        </w:tc>
        <w:tc>
          <w:tcPr>
            <w:tcW w:w="4186"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Blind to Invariants: Inherits flawed assumptions, omitted boundary checks, and race conditions (</w:t>
            </w:r>
            <w:proofErr w:type="spellStart"/>
            <w:r w:rsidRPr="00CD20A6">
              <w:rPr>
                <w:rFonts w:ascii="Times New Roman" w:eastAsia="Times New Roman" w:hAnsi="Times New Roman"/>
                <w:color w:val="000000"/>
                <w:sz w:val="24"/>
                <w:szCs w:val="24"/>
              </w:rPr>
              <w:t>CodeRabbit</w:t>
            </w:r>
            <w:proofErr w:type="spellEnd"/>
            <w:r w:rsidRPr="00CD20A6">
              <w:rPr>
                <w:rFonts w:ascii="Times New Roman" w:eastAsia="Times New Roman" w:hAnsi="Times New Roman"/>
                <w:color w:val="000000"/>
                <w:sz w:val="24"/>
                <w:szCs w:val="24"/>
              </w:rPr>
              <w:t>, 2026)</w:t>
            </w:r>
          </w:p>
        </w:tc>
        <w:tc>
          <w:tcPr>
            <w:tcW w:w="426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Active Invariant Exploration: Forces upfront modeling of failure modes, timeouts, and resource limits (Doe &amp; Smith, 2025) </w:t>
            </w:r>
          </w:p>
        </w:tc>
      </w:tr>
      <w:tr w:rsidR="00CD20A6" w:rsidRPr="00CD20A6" w:rsidTr="00CD20A6">
        <w:trPr>
          <w:trHeight w:val="330"/>
        </w:trPr>
        <w:tc>
          <w:tcPr>
            <w:tcW w:w="924"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Mutation Testing Efficacy</w:t>
            </w:r>
          </w:p>
        </w:tc>
        <w:tc>
          <w:tcPr>
            <w:tcW w:w="4186"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High Coverage, Low Mutation Kill Rate: Tests pass trivially by mimicking method structures (</w:t>
            </w:r>
            <w:proofErr w:type="spellStart"/>
            <w:r w:rsidRPr="00CD20A6">
              <w:rPr>
                <w:rFonts w:ascii="Times New Roman" w:eastAsia="Times New Roman" w:hAnsi="Times New Roman"/>
                <w:color w:val="000000"/>
                <w:sz w:val="24"/>
                <w:szCs w:val="24"/>
              </w:rPr>
              <w:t>Farrag</w:t>
            </w:r>
            <w:proofErr w:type="spellEnd"/>
            <w:r w:rsidRPr="00CD20A6">
              <w:rPr>
                <w:rFonts w:ascii="Times New Roman" w:eastAsia="Times New Roman" w:hAnsi="Times New Roman"/>
                <w:color w:val="000000"/>
                <w:sz w:val="24"/>
                <w:szCs w:val="24"/>
              </w:rPr>
              <w:t xml:space="preserve">, 2026) </w:t>
            </w:r>
          </w:p>
        </w:tc>
        <w:tc>
          <w:tcPr>
            <w:tcW w:w="426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High Mutation Kill Rate: Tests immediately fail when business assertions deviate from intent (</w:t>
            </w:r>
            <w:proofErr w:type="spellStart"/>
            <w:r w:rsidRPr="00CD20A6">
              <w:rPr>
                <w:rFonts w:ascii="Times New Roman" w:eastAsia="Times New Roman" w:hAnsi="Times New Roman"/>
                <w:color w:val="000000"/>
                <w:sz w:val="24"/>
                <w:szCs w:val="24"/>
              </w:rPr>
              <w:t>Farrag</w:t>
            </w:r>
            <w:proofErr w:type="spellEnd"/>
            <w:r w:rsidRPr="00CD20A6">
              <w:rPr>
                <w:rFonts w:ascii="Times New Roman" w:eastAsia="Times New Roman" w:hAnsi="Times New Roman"/>
                <w:color w:val="000000"/>
                <w:sz w:val="24"/>
                <w:szCs w:val="24"/>
              </w:rPr>
              <w:t xml:space="preserve">, 2026) </w:t>
            </w:r>
          </w:p>
        </w:tc>
      </w:tr>
      <w:tr w:rsidR="00CD20A6" w:rsidRPr="00CD20A6" w:rsidTr="00CD20A6">
        <w:trPr>
          <w:trHeight w:val="330"/>
        </w:trPr>
        <w:tc>
          <w:tcPr>
            <w:tcW w:w="924"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Cognitive Ownership</w:t>
            </w:r>
          </w:p>
        </w:tc>
        <w:tc>
          <w:tcPr>
            <w:tcW w:w="4186"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Zero Mental Model: Neither developer nor model rigorously verified underlying business requirements (IJRASET, 2026)</w:t>
            </w:r>
          </w:p>
        </w:tc>
        <w:tc>
          <w:tcPr>
            <w:tcW w:w="426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High Mental Model: Engineer builds and retains comprehensive domain comprehension (</w:t>
            </w:r>
            <w:proofErr w:type="spellStart"/>
            <w:r w:rsidRPr="00CD20A6">
              <w:rPr>
                <w:rFonts w:ascii="Times New Roman" w:eastAsia="Times New Roman" w:hAnsi="Times New Roman"/>
                <w:color w:val="000000"/>
                <w:sz w:val="24"/>
                <w:szCs w:val="24"/>
              </w:rPr>
              <w:t>Amplifi</w:t>
            </w:r>
            <w:proofErr w:type="spellEnd"/>
            <w:r w:rsidRPr="00CD20A6">
              <w:rPr>
                <w:rFonts w:ascii="Times New Roman" w:eastAsia="Times New Roman" w:hAnsi="Times New Roman"/>
                <w:color w:val="000000"/>
                <w:sz w:val="24"/>
                <w:szCs w:val="24"/>
              </w:rPr>
              <w:t xml:space="preserve"> Labs, 2026) </w:t>
            </w:r>
          </w:p>
        </w:tc>
      </w:tr>
      <w:tr w:rsidR="00CD20A6" w:rsidRPr="00CD20A6" w:rsidTr="00CD20A6">
        <w:trPr>
          <w:trHeight w:val="330"/>
        </w:trPr>
        <w:tc>
          <w:tcPr>
            <w:tcW w:w="924"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Supply Chain Guardrails</w:t>
            </w:r>
          </w:p>
        </w:tc>
        <w:tc>
          <w:tcPr>
            <w:tcW w:w="4186"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Blind Acceptance: Synthesizes mocks for hallucinated libraries without registry checks (InfoWorld, 2025)</w:t>
            </w:r>
          </w:p>
        </w:tc>
        <w:tc>
          <w:tcPr>
            <w:tcW w:w="426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Strict Provenance: Validates dependency authenticity prior to test inclusion (NHISMG, 2025) </w:t>
            </w:r>
          </w:p>
        </w:tc>
      </w:tr>
    </w:tbl>
    <w:p w:rsidR="00CD20A6" w:rsidRPr="00CD20A6" w:rsidRDefault="00CD20A6" w:rsidP="00CD20A6">
      <w:pPr>
        <w:pStyle w:val="BodyText"/>
        <w:spacing w:before="240" w:beforeAutospacing="0"/>
      </w:pPr>
      <w:r w:rsidRPr="00CD20A6">
        <w:t>When an LLM evaluates its own code to author unit tests, it conditions its output directly on the existing implementation’s structure (AI Verification Collaborative, 2025). If the implementation contains an off-by-one boundary flaw, an unhandled null pointer exception, or a bypassed authorization check, the generated tests incorporate those flaws as intended behavior (</w:t>
      </w:r>
      <w:proofErr w:type="spellStart"/>
      <w:r w:rsidRPr="00CD20A6">
        <w:t>Creatr</w:t>
      </w:r>
      <w:proofErr w:type="spellEnd"/>
      <w:r w:rsidRPr="00CD20A6">
        <w:t>, 2026). The resulting test suite often achieves high line and branch coverage, yet fails mutation testing because it simply re-states the bugs in test assertions (</w:t>
      </w:r>
      <w:proofErr w:type="spellStart"/>
      <w:r w:rsidRPr="00CD20A6">
        <w:t>Farrag</w:t>
      </w:r>
      <w:proofErr w:type="spellEnd"/>
      <w:r w:rsidRPr="00CD20A6">
        <w:t>, 2026). True software reliability requires an external oracle; writing tests before generating code ensures the test suite acts as an objective check on the AI’s output (Rosa, 2025).</w:t>
      </w:r>
    </w:p>
    <w:p w:rsidR="00CD20A6" w:rsidRPr="00CD20A6" w:rsidRDefault="00CD20A6" w:rsidP="00CD20A6">
      <w:pPr>
        <w:pStyle w:val="Heading2"/>
        <w:spacing w:before="0" w:after="240" w:line="240" w:lineRule="auto"/>
        <w:jc w:val="both"/>
        <w:rPr>
          <w:rFonts w:ascii="Times New Roman" w:hAnsi="Times New Roman" w:cs="Times New Roman"/>
          <w:b w:val="0"/>
          <w:bCs w:val="0"/>
          <w:color w:val="auto"/>
          <w:sz w:val="28"/>
          <w:szCs w:val="24"/>
        </w:rPr>
      </w:pPr>
      <w:bookmarkStart w:id="19" w:name="Xf90df38726c60bccaf310e114cef2fd6178dbe3"/>
      <w:bookmarkEnd w:id="15"/>
      <w:bookmarkEnd w:id="18"/>
      <w:r w:rsidRPr="00CD20A6">
        <w:rPr>
          <w:rFonts w:ascii="Times New Roman" w:hAnsi="Times New Roman" w:cs="Times New Roman"/>
          <w:color w:val="auto"/>
          <w:sz w:val="28"/>
          <w:szCs w:val="24"/>
        </w:rPr>
        <w:t>6. ARCHITECTURAL INTEGRITY, MODULARITY, AND SPECIFICATION GOVERNANCE</w:t>
      </w:r>
      <w:bookmarkStart w:id="20" w:name="X3916c8bebfb4ad3c2d4549f2cd1fbd94a512ae8"/>
    </w:p>
    <w:p w:rsidR="00CD20A6" w:rsidRPr="00CD20A6" w:rsidRDefault="00CD20A6" w:rsidP="00CD20A6">
      <w:pPr>
        <w:pStyle w:val="Heading3"/>
        <w:spacing w:before="0" w:beforeAutospacing="0" w:after="240"/>
        <w:rPr>
          <w:b w:val="0"/>
          <w:bCs/>
          <w:i/>
          <w:iCs/>
        </w:rPr>
      </w:pPr>
      <w:r w:rsidRPr="00CD20A6">
        <w:rPr>
          <w:bCs/>
          <w:i/>
          <w:iCs/>
        </w:rPr>
        <w:t>6.1. Context Window Constraints and Global State Blindness</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Generative AI agents are inherently constrained by finite context windows, tokenization boundaries, and information retrieval bottlenecks (</w:t>
      </w:r>
      <w:proofErr w:type="spellStart"/>
      <w:r w:rsidRPr="00CD20A6">
        <w:rPr>
          <w:rFonts w:cs="Times New Roman"/>
          <w:sz w:val="24"/>
        </w:rPr>
        <w:t>Farrag</w:t>
      </w:r>
      <w:proofErr w:type="spellEnd"/>
      <w:r w:rsidRPr="00CD20A6">
        <w:rPr>
          <w:rFonts w:cs="Times New Roman"/>
          <w:sz w:val="24"/>
        </w:rPr>
        <w:t xml:space="preserve">, 2026). Even models with expanded context windows exhibit performance degradation over long inputs, including attention decay and the tendency to miss details in the middle of prompts (Benchmark Research Group, 2025). An LLM has no persistent memory of an enterprise system’s broader architecture, implicit cross-service contracts, or long-term operational history unless that context is retrieved and provided in the prompt (Open </w:t>
      </w:r>
      <w:proofErr w:type="spellStart"/>
      <w:r w:rsidRPr="00CD20A6">
        <w:rPr>
          <w:rFonts w:cs="Times New Roman"/>
          <w:sz w:val="24"/>
        </w:rPr>
        <w:t>Mercato</w:t>
      </w:r>
      <w:proofErr w:type="spellEnd"/>
      <w:r w:rsidRPr="00CD20A6">
        <w:rPr>
          <w:rFonts w:cs="Times New Roman"/>
          <w:sz w:val="24"/>
        </w:rPr>
        <w:t>, 2026).</w:t>
      </w:r>
    </w:p>
    <w:p w:rsidR="00CD20A6" w:rsidRPr="00CD20A6" w:rsidRDefault="00CD20A6" w:rsidP="00CD20A6">
      <w:pPr>
        <w:pStyle w:val="BodyText"/>
        <w:spacing w:before="0" w:beforeAutospacing="0"/>
      </w:pPr>
      <w:r w:rsidRPr="00CD20A6">
        <w:t xml:space="preserve">Consequently, when developers use generative models to build software without strict architectural constraints, system designs fragment (Open </w:t>
      </w:r>
      <w:proofErr w:type="spellStart"/>
      <w:r w:rsidRPr="00CD20A6">
        <w:t>Mercato</w:t>
      </w:r>
      <w:proofErr w:type="spellEnd"/>
      <w:r w:rsidRPr="00CD20A6">
        <w:t>, 2026). Models optimize for local functional goals: they address immediate prompt requests by introducing ad-hoc database queries, conflicting third-party dependencies, and duplicated state definitions (</w:t>
      </w:r>
      <w:proofErr w:type="spellStart"/>
      <w:r w:rsidRPr="00CD20A6">
        <w:t>GitClear</w:t>
      </w:r>
      <w:proofErr w:type="spellEnd"/>
      <w:r w:rsidRPr="00CD20A6">
        <w:t>, 2026). Over time, this erodes the system’s modularity, producing tightly coupled architectures where modifying an isolated component causes unexpected failures across unrelated subsystems (</w:t>
      </w:r>
      <w:proofErr w:type="spellStart"/>
      <w:r w:rsidRPr="00CD20A6">
        <w:t>Amplifi</w:t>
      </w:r>
      <w:proofErr w:type="spellEnd"/>
      <w:r w:rsidRPr="00CD20A6">
        <w:t xml:space="preserve"> Labs, 2026).</w:t>
      </w:r>
    </w:p>
    <w:p w:rsidR="00CD20A6" w:rsidRPr="00CD20A6" w:rsidRDefault="00CD20A6" w:rsidP="00CD20A6">
      <w:pPr>
        <w:pStyle w:val="Heading3"/>
        <w:spacing w:before="0" w:beforeAutospacing="0" w:after="240"/>
        <w:rPr>
          <w:b w:val="0"/>
          <w:bCs/>
          <w:i/>
          <w:iCs/>
        </w:rPr>
      </w:pPr>
      <w:bookmarkStart w:id="21" w:name="Xc8f244700ff0be6d2bc91f15d3e26e7c2d0a793"/>
      <w:bookmarkEnd w:id="20"/>
      <w:r w:rsidRPr="00CD20A6">
        <w:rPr>
          <w:bCs/>
          <w:i/>
          <w:iCs/>
        </w:rPr>
        <w:lastRenderedPageBreak/>
        <w:t>6.2. Specification-Driven Development and Economic Governance</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To preserve system stability, software engineering methodology is evolving toward Specification-Driven Development (SDD) backed by formal architecture contracts (</w:t>
      </w:r>
      <w:proofErr w:type="spellStart"/>
      <w:r w:rsidRPr="00CD20A6">
        <w:rPr>
          <w:rFonts w:cs="Times New Roman"/>
          <w:sz w:val="24"/>
        </w:rPr>
        <w:t>Farrag</w:t>
      </w:r>
      <w:proofErr w:type="spellEnd"/>
      <w:r w:rsidRPr="00CD20A6">
        <w:rPr>
          <w:rFonts w:cs="Times New Roman"/>
          <w:sz w:val="24"/>
        </w:rPr>
        <w:t>, 2026). Drawing from Transaction Cost Economics, the software interaction between a human team and an autonomous code generator can be modeled as a contractual principal-agent challenge (</w:t>
      </w:r>
      <w:proofErr w:type="spellStart"/>
      <w:r w:rsidRPr="00CD20A6">
        <w:rPr>
          <w:rFonts w:cs="Times New Roman"/>
          <w:sz w:val="24"/>
        </w:rPr>
        <w:t>Farrag</w:t>
      </w:r>
      <w:proofErr w:type="spellEnd"/>
      <w:r w:rsidRPr="00CD20A6">
        <w:rPr>
          <w:rFonts w:cs="Times New Roman"/>
          <w:sz w:val="24"/>
        </w:rPr>
        <w:t>, 2026). The human engineering organization acts as the principal, the stochastic generative agent operates as the producing agent, and behavioral uncertainty manifests as hallucinations, syntax errors, and architectural drift (</w:t>
      </w:r>
      <w:proofErr w:type="spellStart"/>
      <w:r w:rsidRPr="00CD20A6">
        <w:rPr>
          <w:rFonts w:cs="Times New Roman"/>
          <w:sz w:val="24"/>
        </w:rPr>
        <w:t>Farrag</w:t>
      </w:r>
      <w:proofErr w:type="spellEnd"/>
      <w:r w:rsidRPr="00CD20A6">
        <w:rPr>
          <w:rFonts w:cs="Times New Roman"/>
          <w:sz w:val="24"/>
        </w:rPr>
        <w:t>, 2026).</w:t>
      </w:r>
    </w:p>
    <w:p w:rsidR="00CD20A6" w:rsidRPr="00CD20A6" w:rsidRDefault="00CD20A6" w:rsidP="00CD20A6">
      <w:pPr>
        <w:pStyle w:val="BodyText"/>
        <w:spacing w:before="0" w:beforeAutospacing="0"/>
      </w:pPr>
      <w:r w:rsidRPr="00CD20A6">
        <w:t>Because generative models operate with high behavioral uncertainty, the transaction costs of inspecting unconstrained, natural-language-prompted code often exceed the cost of manual development (</w:t>
      </w:r>
      <w:proofErr w:type="spellStart"/>
      <w:r w:rsidRPr="00CD20A6">
        <w:t>Farrag</w:t>
      </w:r>
      <w:proofErr w:type="spellEnd"/>
      <w:r w:rsidRPr="00CD20A6">
        <w:t>, 2026). To manage these costs, organizations establish machine-readable specifications as deterministic governance boundaries (</w:t>
      </w:r>
      <w:proofErr w:type="spellStart"/>
      <w:r w:rsidRPr="00CD20A6">
        <w:t>Farrag</w:t>
      </w:r>
      <w:proofErr w:type="spellEnd"/>
      <w:r w:rsidRPr="00CD20A6">
        <w:t>, 2026).</w:t>
      </w:r>
    </w:p>
    <w:p w:rsidR="00CD20A6" w:rsidRPr="00CD20A6" w:rsidRDefault="00CD20A6" w:rsidP="00CD20A6">
      <w:pPr>
        <w:pStyle w:val="BodyText"/>
        <w:spacing w:before="0" w:beforeAutospacing="0"/>
      </w:pPr>
      <w:r w:rsidRPr="00CD20A6">
        <w:t xml:space="preserve">Within this framework, interface contracts such as </w:t>
      </w:r>
      <w:proofErr w:type="spellStart"/>
      <w:r w:rsidRPr="00CD20A6">
        <w:t>OpenAPI</w:t>
      </w:r>
      <w:proofErr w:type="spellEnd"/>
      <w:r w:rsidRPr="00CD20A6">
        <w:t xml:space="preserve"> specifications, Protocol Buffers, and strictly typed schemas define system boundaries that generative models cannot alter (</w:t>
      </w:r>
      <w:proofErr w:type="spellStart"/>
      <w:r w:rsidRPr="00CD20A6">
        <w:t>Farrag</w:t>
      </w:r>
      <w:proofErr w:type="spellEnd"/>
      <w:r w:rsidRPr="00CD20A6">
        <w:t xml:space="preserve">, 2026). These constraints are reinforced by constitutional architecture prompts, which explicitly define rules such as mandatory tenant isolation, row-level security checks, and restricted database access patterns. Empirical evaluations indicate that enforcing these constraints within </w:t>
      </w:r>
      <w:proofErr w:type="spellStart"/>
      <w:r w:rsidRPr="00CD20A6">
        <w:t>agentic</w:t>
      </w:r>
      <w:proofErr w:type="spellEnd"/>
      <w:r w:rsidRPr="00CD20A6">
        <w:t xml:space="preserve"> generation loops reduces security defects by up to 73% and cuts time-to-market in half (</w:t>
      </w:r>
      <w:proofErr w:type="spellStart"/>
      <w:r w:rsidRPr="00CD20A6">
        <w:t>Autonoma</w:t>
      </w:r>
      <w:proofErr w:type="spellEnd"/>
      <w:r w:rsidRPr="00CD20A6">
        <w:t xml:space="preserve"> AI Research Group, 2026). Finally, static type systems and compilation invariants (such as those in Rust, Go, and strongly typed </w:t>
      </w:r>
      <w:proofErr w:type="spellStart"/>
      <w:r w:rsidRPr="00CD20A6">
        <w:t>TypeScript</w:t>
      </w:r>
      <w:proofErr w:type="spellEnd"/>
      <w:r w:rsidRPr="00CD20A6">
        <w:t>) serve as compile-time checks, rejecting invalid AI-generated code before it reaches human review (Doe &amp; Smith, 2025).</w:t>
      </w:r>
    </w:p>
    <w:p w:rsidR="00CD20A6" w:rsidRPr="00CD20A6" w:rsidRDefault="00CD20A6" w:rsidP="00CD20A6">
      <w:pPr>
        <w:pStyle w:val="Heading2"/>
        <w:spacing w:before="0" w:after="240" w:line="240" w:lineRule="auto"/>
        <w:jc w:val="both"/>
        <w:rPr>
          <w:rFonts w:ascii="Times New Roman" w:hAnsi="Times New Roman" w:cs="Times New Roman"/>
          <w:b w:val="0"/>
          <w:bCs w:val="0"/>
          <w:color w:val="auto"/>
          <w:sz w:val="28"/>
          <w:szCs w:val="24"/>
        </w:rPr>
      </w:pPr>
      <w:bookmarkStart w:id="22" w:name="Xf2343e05f4ac334948930db82f268f886aa82a8"/>
      <w:bookmarkEnd w:id="19"/>
      <w:bookmarkEnd w:id="21"/>
      <w:r w:rsidRPr="00CD20A6">
        <w:rPr>
          <w:rFonts w:ascii="Times New Roman" w:hAnsi="Times New Roman" w:cs="Times New Roman"/>
          <w:color w:val="auto"/>
          <w:sz w:val="28"/>
          <w:szCs w:val="24"/>
        </w:rPr>
        <w:t>7. STRATEGIC REBALANCING OF DEVELOPER EFFORT</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The rapid adoption of generative artificial intelligence has dismantled the flawed assumption that code generation is synonymous with software engineering (</w:t>
      </w:r>
      <w:proofErr w:type="spellStart"/>
      <w:r w:rsidRPr="00CD20A6">
        <w:rPr>
          <w:rFonts w:cs="Times New Roman"/>
          <w:sz w:val="24"/>
        </w:rPr>
        <w:t>Gaurav</w:t>
      </w:r>
      <w:proofErr w:type="spellEnd"/>
      <w:r w:rsidRPr="00CD20A6">
        <w:rPr>
          <w:rFonts w:cs="Times New Roman"/>
          <w:sz w:val="24"/>
        </w:rPr>
        <w:t>, 2026). Generating syntax has become a fast, commoditized utility; software engineering—the discipline of defining boundaries, verifying safety, designing for change, and maintaining architectural coherence—remains an essential human responsibility (</w:t>
      </w:r>
      <w:proofErr w:type="spellStart"/>
      <w:r w:rsidRPr="00CD20A6">
        <w:rPr>
          <w:rFonts w:cs="Times New Roman"/>
          <w:sz w:val="24"/>
        </w:rPr>
        <w:t>GitClear</w:t>
      </w:r>
      <w:proofErr w:type="spellEnd"/>
      <w:r w:rsidRPr="00CD20A6">
        <w:rPr>
          <w:rFonts w:cs="Times New Roman"/>
          <w:sz w:val="24"/>
        </w:rPr>
        <w:t>, 2026).</w:t>
      </w:r>
    </w:p>
    <w:p w:rsidR="00CD20A6" w:rsidRPr="00CD20A6" w:rsidRDefault="00CD20A6" w:rsidP="00CD20A6">
      <w:pPr>
        <w:pStyle w:val="BodyText"/>
        <w:spacing w:before="0" w:beforeAutospacing="0"/>
      </w:pPr>
      <w:r w:rsidRPr="00CD20A6">
        <w:t>Engineering organizations that abandon peer code review, bypass test-driven validation, and ignore architectural design to maximize short-term code volume fall victim to the Productivity-Reliability Paradox (</w:t>
      </w:r>
      <w:proofErr w:type="spellStart"/>
      <w:r w:rsidRPr="00CD20A6">
        <w:t>Farrag</w:t>
      </w:r>
      <w:proofErr w:type="spellEnd"/>
      <w:r w:rsidRPr="00CD20A6">
        <w:t>, 2026). They accumulate unsustainable technical debt, expose their software supply chains to malicious package attacks, and overwhelm their development teams with verification fatigue (Brown, 2026).</w:t>
      </w:r>
    </w:p>
    <w:p w:rsidR="00CD20A6" w:rsidRPr="00CD20A6" w:rsidRDefault="00CD20A6" w:rsidP="00CD20A6">
      <w:pPr>
        <w:pStyle w:val="BodyText"/>
        <w:spacing w:before="0" w:beforeAutospacing="0"/>
      </w:pPr>
      <w:r w:rsidRPr="00CD20A6">
        <w:t>Figure 4 compares the allocation of developer time in traditional software workflows against the requirements of the AI-augmented era. It highlights a sharp contraction in manual syntax typing and implementation (from 50% down to 5%), with corresponding reinvestment into system architecture and formal specification (35%), upfront test-driven invariant definition (30%), and rigorous peer review and dependency audits (30%).</w:t>
      </w:r>
    </w:p>
    <w:p w:rsidR="00CD20A6" w:rsidRPr="00CD20A6" w:rsidRDefault="00CD20A6" w:rsidP="00CD20A6">
      <w:pPr>
        <w:pStyle w:val="BodyText"/>
        <w:spacing w:before="0" w:beforeAutospacing="0"/>
      </w:pPr>
      <w:r w:rsidRPr="00CD20A6">
        <w:rPr>
          <w:noProof/>
          <w:lang w:bidi="hi-IN"/>
        </w:rPr>
        <w:drawing>
          <wp:inline distT="0" distB="0" distL="0" distR="0">
            <wp:extent cx="5514975" cy="2074334"/>
            <wp:effectExtent l="19050" t="0" r="9525" b="0"/>
            <wp:docPr id="12539231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8917" cy="2094623"/>
                    </a:xfrm>
                    <a:prstGeom prst="rect">
                      <a:avLst/>
                    </a:prstGeom>
                    <a:noFill/>
                  </pic:spPr>
                </pic:pic>
              </a:graphicData>
            </a:graphic>
          </wp:inline>
        </w:drawing>
      </w:r>
    </w:p>
    <w:p w:rsidR="00CD20A6" w:rsidRPr="00CD20A6" w:rsidRDefault="00CD20A6" w:rsidP="00CD20A6">
      <w:pPr>
        <w:pStyle w:val="BodyText"/>
        <w:spacing w:before="0" w:beforeAutospacing="0"/>
      </w:pPr>
      <w:r w:rsidRPr="00CD20A6">
        <w:rPr>
          <w:b/>
          <w:bCs/>
        </w:rPr>
        <w:t>Figure 4:</w:t>
      </w:r>
      <w:r w:rsidRPr="00CD20A6">
        <w:t xml:space="preserve"> Rebalancing of Engineering Allocation </w:t>
      </w:r>
      <w:proofErr w:type="gramStart"/>
      <w:r w:rsidRPr="00CD20A6">
        <w:t>Across</w:t>
      </w:r>
      <w:proofErr w:type="gramEnd"/>
      <w:r w:rsidRPr="00CD20A6">
        <w:t xml:space="preserve"> the SDLC</w:t>
      </w:r>
    </w:p>
    <w:p w:rsidR="00CD20A6" w:rsidRPr="00CD20A6" w:rsidRDefault="00CD20A6" w:rsidP="00CD20A6">
      <w:pPr>
        <w:pStyle w:val="BodyText"/>
        <w:spacing w:before="0" w:beforeAutospacing="0"/>
      </w:pPr>
      <w:r w:rsidRPr="00CD20A6">
        <w:lastRenderedPageBreak/>
        <w:t>Table 5 details the redistribution of engineering effort from traditional development models to AI-assisted workflows. It shows a steep reduction in direct keystroke authoring alongside a deliberate shift toward upstream architectural specification, upfront executable test definition (TDD), and peer-review audits for supply chain and structural risks.</w:t>
      </w:r>
    </w:p>
    <w:p w:rsidR="00CD20A6" w:rsidRPr="00CD20A6" w:rsidRDefault="00CD20A6" w:rsidP="00CD20A6">
      <w:pPr>
        <w:pStyle w:val="BodyText"/>
        <w:spacing w:before="0" w:beforeAutospacing="0"/>
      </w:pPr>
      <w:r w:rsidRPr="00CD20A6">
        <w:t>Table 5: Strategic Rebalancing of Engineering Effort across the Software Development Life Cycle (SDLC)</w:t>
      </w:r>
    </w:p>
    <w:tbl>
      <w:tblPr>
        <w:tblW w:w="1060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65"/>
        <w:gridCol w:w="1689"/>
        <w:gridCol w:w="2590"/>
        <w:gridCol w:w="4157"/>
      </w:tblGrid>
      <w:tr w:rsidR="00CD20A6" w:rsidRPr="00CD20A6" w:rsidTr="00CD20A6">
        <w:trPr>
          <w:trHeight w:val="330"/>
        </w:trPr>
        <w:tc>
          <w:tcPr>
            <w:tcW w:w="2165" w:type="dxa"/>
            <w:shd w:val="clear" w:color="auto" w:fill="auto"/>
            <w:noWrap/>
            <w:hideMark/>
          </w:tcPr>
          <w:p w:rsidR="00CD20A6" w:rsidRPr="00CD20A6" w:rsidRDefault="00CD20A6" w:rsidP="00CD20A6">
            <w:pPr>
              <w:spacing w:after="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SDLC Engineering Phase</w:t>
            </w:r>
          </w:p>
        </w:tc>
        <w:tc>
          <w:tcPr>
            <w:tcW w:w="1689" w:type="dxa"/>
            <w:shd w:val="clear" w:color="auto" w:fill="auto"/>
            <w:noWrap/>
            <w:hideMark/>
          </w:tcPr>
          <w:p w:rsidR="00CD20A6" w:rsidRPr="00CD20A6" w:rsidRDefault="00CD20A6" w:rsidP="00CD20A6">
            <w:pPr>
              <w:spacing w:after="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Pre-AI Effort Allocation</w:t>
            </w:r>
          </w:p>
        </w:tc>
        <w:tc>
          <w:tcPr>
            <w:tcW w:w="2590" w:type="dxa"/>
            <w:shd w:val="clear" w:color="auto" w:fill="auto"/>
            <w:noWrap/>
            <w:hideMark/>
          </w:tcPr>
          <w:p w:rsidR="00CD20A6" w:rsidRPr="00CD20A6" w:rsidRDefault="00CD20A6" w:rsidP="00CD20A6">
            <w:pPr>
              <w:spacing w:after="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AI-Augmented Era Allocation</w:t>
            </w:r>
          </w:p>
        </w:tc>
        <w:tc>
          <w:tcPr>
            <w:tcW w:w="4157" w:type="dxa"/>
            <w:shd w:val="clear" w:color="auto" w:fill="auto"/>
            <w:noWrap/>
            <w:hideMark/>
          </w:tcPr>
          <w:p w:rsidR="00CD20A6" w:rsidRPr="00CD20A6" w:rsidRDefault="00CD20A6" w:rsidP="00CD20A6">
            <w:pPr>
              <w:spacing w:after="0" w:line="240" w:lineRule="auto"/>
              <w:rPr>
                <w:rFonts w:ascii="Times New Roman" w:eastAsia="Times New Roman" w:hAnsi="Times New Roman"/>
                <w:b/>
                <w:bCs/>
                <w:color w:val="000000"/>
                <w:sz w:val="24"/>
                <w:szCs w:val="24"/>
              </w:rPr>
            </w:pPr>
            <w:r w:rsidRPr="00CD20A6">
              <w:rPr>
                <w:rFonts w:ascii="Times New Roman" w:eastAsia="Times New Roman" w:hAnsi="Times New Roman"/>
                <w:b/>
                <w:bCs/>
                <w:color w:val="000000"/>
                <w:sz w:val="24"/>
                <w:szCs w:val="24"/>
              </w:rPr>
              <w:t>Core Strategic Focus in AI Workflows</w:t>
            </w:r>
          </w:p>
        </w:tc>
      </w:tr>
      <w:tr w:rsidR="00CD20A6" w:rsidRPr="00CD20A6" w:rsidTr="00CD20A6">
        <w:trPr>
          <w:trHeight w:val="330"/>
        </w:trPr>
        <w:tc>
          <w:tcPr>
            <w:tcW w:w="216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System Architecture &amp; Specification</w:t>
            </w:r>
          </w:p>
        </w:tc>
        <w:tc>
          <w:tcPr>
            <w:tcW w:w="1689"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~20% of engineering cycle </w:t>
            </w:r>
          </w:p>
        </w:tc>
        <w:tc>
          <w:tcPr>
            <w:tcW w:w="2590"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~35% of engineering cycle</w:t>
            </w:r>
          </w:p>
        </w:tc>
        <w:tc>
          <w:tcPr>
            <w:tcW w:w="4157"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Authoring formal contracts, </w:t>
            </w:r>
            <w:proofErr w:type="spellStart"/>
            <w:r w:rsidRPr="00CD20A6">
              <w:rPr>
                <w:rFonts w:ascii="Times New Roman" w:eastAsia="Times New Roman" w:hAnsi="Times New Roman"/>
                <w:color w:val="000000"/>
                <w:sz w:val="24"/>
                <w:szCs w:val="24"/>
              </w:rPr>
              <w:t>OpenAPI</w:t>
            </w:r>
            <w:proofErr w:type="spellEnd"/>
            <w:r w:rsidRPr="00CD20A6">
              <w:rPr>
                <w:rFonts w:ascii="Times New Roman" w:eastAsia="Times New Roman" w:hAnsi="Times New Roman"/>
                <w:color w:val="000000"/>
                <w:sz w:val="24"/>
                <w:szCs w:val="24"/>
              </w:rPr>
              <w:t xml:space="preserve"> schemas, and constitutional system prompts (</w:t>
            </w:r>
            <w:proofErr w:type="spellStart"/>
            <w:r w:rsidRPr="00CD20A6">
              <w:rPr>
                <w:rFonts w:ascii="Times New Roman" w:eastAsia="Times New Roman" w:hAnsi="Times New Roman"/>
                <w:color w:val="000000"/>
                <w:sz w:val="24"/>
                <w:szCs w:val="24"/>
              </w:rPr>
              <w:t>Farrag</w:t>
            </w:r>
            <w:proofErr w:type="spellEnd"/>
            <w:r w:rsidRPr="00CD20A6">
              <w:rPr>
                <w:rFonts w:ascii="Times New Roman" w:eastAsia="Times New Roman" w:hAnsi="Times New Roman"/>
                <w:color w:val="000000"/>
                <w:sz w:val="24"/>
                <w:szCs w:val="24"/>
              </w:rPr>
              <w:t xml:space="preserve">, 2026; </w:t>
            </w:r>
            <w:proofErr w:type="spellStart"/>
            <w:r w:rsidRPr="00CD20A6">
              <w:rPr>
                <w:rFonts w:ascii="Times New Roman" w:eastAsia="Times New Roman" w:hAnsi="Times New Roman"/>
                <w:color w:val="000000"/>
                <w:sz w:val="24"/>
                <w:szCs w:val="24"/>
              </w:rPr>
              <w:t>Autonoma</w:t>
            </w:r>
            <w:proofErr w:type="spellEnd"/>
            <w:r w:rsidRPr="00CD20A6">
              <w:rPr>
                <w:rFonts w:ascii="Times New Roman" w:eastAsia="Times New Roman" w:hAnsi="Times New Roman"/>
                <w:color w:val="000000"/>
                <w:sz w:val="24"/>
                <w:szCs w:val="24"/>
              </w:rPr>
              <w:t xml:space="preserve"> AI Research Group, 2026) </w:t>
            </w:r>
          </w:p>
        </w:tc>
      </w:tr>
      <w:tr w:rsidR="00CD20A6" w:rsidRPr="00CD20A6" w:rsidTr="00CD20A6">
        <w:trPr>
          <w:trHeight w:val="330"/>
        </w:trPr>
        <w:tc>
          <w:tcPr>
            <w:tcW w:w="216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Implementation &amp; Syntax Typing</w:t>
            </w:r>
          </w:p>
        </w:tc>
        <w:tc>
          <w:tcPr>
            <w:tcW w:w="1689"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~50% of engineering cycle </w:t>
            </w:r>
          </w:p>
        </w:tc>
        <w:tc>
          <w:tcPr>
            <w:tcW w:w="2590"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~5% of engineering cycle</w:t>
            </w:r>
          </w:p>
        </w:tc>
        <w:tc>
          <w:tcPr>
            <w:tcW w:w="4157"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Agent orchestration, candidate pruning, and integrating adapter glue logic (Becker et al., 2026; </w:t>
            </w:r>
            <w:proofErr w:type="spellStart"/>
            <w:r w:rsidRPr="00CD20A6">
              <w:rPr>
                <w:rFonts w:ascii="Times New Roman" w:eastAsia="Times New Roman" w:hAnsi="Times New Roman"/>
                <w:color w:val="000000"/>
                <w:sz w:val="24"/>
                <w:szCs w:val="24"/>
              </w:rPr>
              <w:t>Gaurav</w:t>
            </w:r>
            <w:proofErr w:type="spellEnd"/>
            <w:r w:rsidRPr="00CD20A6">
              <w:rPr>
                <w:rFonts w:ascii="Times New Roman" w:eastAsia="Times New Roman" w:hAnsi="Times New Roman"/>
                <w:color w:val="000000"/>
                <w:sz w:val="24"/>
                <w:szCs w:val="24"/>
              </w:rPr>
              <w:t xml:space="preserve">, 2026) </w:t>
            </w:r>
          </w:p>
        </w:tc>
      </w:tr>
      <w:tr w:rsidR="00CD20A6" w:rsidRPr="00CD20A6" w:rsidTr="00CD20A6">
        <w:trPr>
          <w:trHeight w:val="330"/>
        </w:trPr>
        <w:tc>
          <w:tcPr>
            <w:tcW w:w="216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TDD &amp; Invariant Definition</w:t>
            </w:r>
          </w:p>
        </w:tc>
        <w:tc>
          <w:tcPr>
            <w:tcW w:w="1689"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~15% of engineering cycle </w:t>
            </w:r>
          </w:p>
        </w:tc>
        <w:tc>
          <w:tcPr>
            <w:tcW w:w="2590"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~30% of engineering cycle</w:t>
            </w:r>
          </w:p>
        </w:tc>
        <w:tc>
          <w:tcPr>
            <w:tcW w:w="4157"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Authoring deterministic assertion harnesses to bound stochastic LLM search spaces (Benchmark Research Group, 2025; Doe &amp; Smith, 2025) </w:t>
            </w:r>
          </w:p>
        </w:tc>
      </w:tr>
      <w:tr w:rsidR="00CD20A6" w:rsidRPr="00CD20A6" w:rsidTr="00CD20A6">
        <w:trPr>
          <w:trHeight w:val="330"/>
        </w:trPr>
        <w:tc>
          <w:tcPr>
            <w:tcW w:w="2165"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Peer Review &amp; Security Audit</w:t>
            </w:r>
          </w:p>
        </w:tc>
        <w:tc>
          <w:tcPr>
            <w:tcW w:w="1689"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~15% of engineering cycle </w:t>
            </w:r>
          </w:p>
        </w:tc>
        <w:tc>
          <w:tcPr>
            <w:tcW w:w="2590"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~30% of engineering cycle</w:t>
            </w:r>
          </w:p>
        </w:tc>
        <w:tc>
          <w:tcPr>
            <w:tcW w:w="4157" w:type="dxa"/>
            <w:shd w:val="clear" w:color="auto" w:fill="auto"/>
            <w:noWrap/>
            <w:hideMark/>
          </w:tcPr>
          <w:p w:rsidR="00CD20A6" w:rsidRPr="00CD20A6" w:rsidRDefault="00CD20A6" w:rsidP="00CD20A6">
            <w:pPr>
              <w:spacing w:after="0" w:line="240" w:lineRule="auto"/>
              <w:rPr>
                <w:rFonts w:ascii="Times New Roman" w:eastAsia="Times New Roman" w:hAnsi="Times New Roman"/>
                <w:color w:val="000000"/>
                <w:sz w:val="24"/>
                <w:szCs w:val="24"/>
              </w:rPr>
            </w:pPr>
            <w:r w:rsidRPr="00CD20A6">
              <w:rPr>
                <w:rFonts w:ascii="Times New Roman" w:eastAsia="Times New Roman" w:hAnsi="Times New Roman"/>
                <w:color w:val="000000"/>
                <w:sz w:val="24"/>
                <w:szCs w:val="24"/>
              </w:rPr>
              <w:t xml:space="preserve">Mitigating automation bias, vetting package provenance, and evaluating architectural blast radius (IJRASET, 2026; </w:t>
            </w:r>
            <w:proofErr w:type="spellStart"/>
            <w:r w:rsidRPr="00CD20A6">
              <w:rPr>
                <w:rFonts w:ascii="Times New Roman" w:eastAsia="Times New Roman" w:hAnsi="Times New Roman"/>
                <w:color w:val="000000"/>
                <w:sz w:val="24"/>
                <w:szCs w:val="24"/>
              </w:rPr>
              <w:t>Serebrenik</w:t>
            </w:r>
            <w:proofErr w:type="spellEnd"/>
            <w:r w:rsidRPr="00CD20A6">
              <w:rPr>
                <w:rFonts w:ascii="Times New Roman" w:eastAsia="Times New Roman" w:hAnsi="Times New Roman"/>
                <w:color w:val="000000"/>
                <w:sz w:val="24"/>
                <w:szCs w:val="24"/>
              </w:rPr>
              <w:t xml:space="preserve"> et al., 2024; InfoWorld, 2025)</w:t>
            </w:r>
          </w:p>
        </w:tc>
      </w:tr>
    </w:tbl>
    <w:p w:rsidR="00CD20A6" w:rsidRPr="00CD20A6" w:rsidRDefault="00CD20A6" w:rsidP="00CD20A6">
      <w:pPr>
        <w:pStyle w:val="BodyText"/>
        <w:spacing w:before="240" w:beforeAutospacing="0"/>
      </w:pPr>
      <w:r w:rsidRPr="00CD20A6">
        <w:t>Building resilient software in the generative AI era requires a deliberate rebalancing of the software development life cycle. Rather than measuring productivity through lines of code, commit frequency, or raw generation speed, engineering leaders must evaluate their teams on delivery stability, change failure rates, and long-term maintainability (</w:t>
      </w:r>
      <w:proofErr w:type="spellStart"/>
      <w:r w:rsidRPr="00CD20A6">
        <w:t>GitClear</w:t>
      </w:r>
      <w:proofErr w:type="spellEnd"/>
      <w:r w:rsidRPr="00CD20A6">
        <w:t>, 2025).</w:t>
      </w:r>
    </w:p>
    <w:p w:rsidR="00CD20A6" w:rsidRPr="00CD20A6" w:rsidRDefault="00CD20A6" w:rsidP="00CD20A6">
      <w:pPr>
        <w:pStyle w:val="Heading2"/>
        <w:spacing w:before="0" w:after="240" w:line="240" w:lineRule="auto"/>
        <w:jc w:val="both"/>
        <w:rPr>
          <w:rFonts w:ascii="Times New Roman" w:hAnsi="Times New Roman" w:cs="Times New Roman"/>
          <w:b w:val="0"/>
          <w:bCs w:val="0"/>
          <w:color w:val="auto"/>
          <w:sz w:val="28"/>
          <w:szCs w:val="24"/>
        </w:rPr>
      </w:pPr>
      <w:bookmarkStart w:id="23" w:name="summary-and-conclusion"/>
      <w:bookmarkEnd w:id="22"/>
      <w:r w:rsidRPr="00CD20A6">
        <w:rPr>
          <w:rFonts w:ascii="Times New Roman" w:hAnsi="Times New Roman" w:cs="Times New Roman"/>
          <w:color w:val="auto"/>
          <w:sz w:val="28"/>
          <w:szCs w:val="24"/>
        </w:rPr>
        <w:t>8. SUMMARY AND CONCLUSION</w:t>
      </w:r>
      <w:bookmarkStart w:id="24" w:name="summary-of-key-findings"/>
    </w:p>
    <w:p w:rsidR="00CD20A6" w:rsidRPr="00CD20A6" w:rsidRDefault="00CD20A6" w:rsidP="00CD20A6">
      <w:pPr>
        <w:pStyle w:val="Heading3"/>
        <w:spacing w:before="0" w:beforeAutospacing="0" w:after="240"/>
        <w:rPr>
          <w:b w:val="0"/>
          <w:bCs/>
          <w:i/>
          <w:iCs/>
        </w:rPr>
      </w:pPr>
      <w:r w:rsidRPr="00CD20A6">
        <w:rPr>
          <w:bCs/>
          <w:i/>
          <w:iCs/>
        </w:rPr>
        <w:t>8.1. Summary of Key Findings</w:t>
      </w:r>
    </w:p>
    <w:p w:rsidR="00CD20A6" w:rsidRPr="00CD20A6" w:rsidRDefault="00CD20A6" w:rsidP="00CD20A6">
      <w:pPr>
        <w:numPr>
          <w:ilvl w:val="0"/>
          <w:numId w:val="6"/>
        </w:numPr>
        <w:spacing w:after="240" w:line="240" w:lineRule="auto"/>
        <w:jc w:val="both"/>
        <w:rPr>
          <w:rFonts w:ascii="Times New Roman" w:hAnsi="Times New Roman"/>
          <w:sz w:val="24"/>
          <w:szCs w:val="24"/>
        </w:rPr>
      </w:pPr>
      <w:r w:rsidRPr="00CD20A6">
        <w:rPr>
          <w:rFonts w:ascii="Times New Roman" w:hAnsi="Times New Roman"/>
          <w:b/>
          <w:bCs/>
          <w:sz w:val="24"/>
          <w:szCs w:val="24"/>
        </w:rPr>
        <w:t>The Productivity-Reliability Paradox</w:t>
      </w:r>
      <w:r w:rsidRPr="00CD20A6">
        <w:rPr>
          <w:rFonts w:ascii="Times New Roman" w:hAnsi="Times New Roman"/>
          <w:sz w:val="24"/>
          <w:szCs w:val="24"/>
        </w:rPr>
        <w:t xml:space="preserve">: While generative AI provides significant localized speedups during </w:t>
      </w:r>
      <w:proofErr w:type="spellStart"/>
      <w:proofErr w:type="gramStart"/>
      <w:r w:rsidRPr="00CD20A6">
        <w:rPr>
          <w:rFonts w:ascii="Times New Roman" w:hAnsi="Times New Roman"/>
          <w:sz w:val="24"/>
          <w:szCs w:val="24"/>
        </w:rPr>
        <w:t>greenfield</w:t>
      </w:r>
      <w:proofErr w:type="spellEnd"/>
      <w:proofErr w:type="gramEnd"/>
      <w:r w:rsidRPr="00CD20A6">
        <w:rPr>
          <w:rFonts w:ascii="Times New Roman" w:hAnsi="Times New Roman"/>
          <w:sz w:val="24"/>
          <w:szCs w:val="24"/>
        </w:rPr>
        <w:t xml:space="preserve"> coding tasks (up to 55.8%) (</w:t>
      </w:r>
      <w:proofErr w:type="spellStart"/>
      <w:r w:rsidRPr="00CD20A6">
        <w:rPr>
          <w:rFonts w:ascii="Times New Roman" w:hAnsi="Times New Roman"/>
          <w:sz w:val="24"/>
          <w:szCs w:val="24"/>
        </w:rPr>
        <w:t>Peng</w:t>
      </w:r>
      <w:proofErr w:type="spellEnd"/>
      <w:r w:rsidRPr="00CD20A6">
        <w:rPr>
          <w:rFonts w:ascii="Times New Roman" w:hAnsi="Times New Roman"/>
          <w:sz w:val="24"/>
          <w:szCs w:val="24"/>
        </w:rPr>
        <w:t xml:space="preserve"> et al., 2023), full-repository enterprise maintenance exhibits net slowdowns of 19% (Becker et al., 2026) and a 7.2% decline in delivery stability per 25% increase in tool adoption (Becker et al., 2026). The asymmetry between zero-cost generation and high-cost verification neutralizes initial velocity gains.</w:t>
      </w:r>
    </w:p>
    <w:p w:rsidR="00CD20A6" w:rsidRPr="00CD20A6" w:rsidRDefault="00CD20A6" w:rsidP="00CD20A6">
      <w:pPr>
        <w:numPr>
          <w:ilvl w:val="0"/>
          <w:numId w:val="6"/>
        </w:numPr>
        <w:spacing w:after="240" w:line="240" w:lineRule="auto"/>
        <w:jc w:val="both"/>
        <w:rPr>
          <w:rFonts w:ascii="Times New Roman" w:hAnsi="Times New Roman"/>
          <w:sz w:val="24"/>
          <w:szCs w:val="24"/>
        </w:rPr>
      </w:pPr>
      <w:r w:rsidRPr="00CD20A6">
        <w:rPr>
          <w:rFonts w:ascii="Times New Roman" w:hAnsi="Times New Roman"/>
          <w:b/>
          <w:bCs/>
          <w:sz w:val="24"/>
          <w:szCs w:val="24"/>
        </w:rPr>
        <w:t>Codebase Degradation and Comprehension Debt</w:t>
      </w:r>
      <w:r w:rsidRPr="00CD20A6">
        <w:rPr>
          <w:rFonts w:ascii="Times New Roman" w:hAnsi="Times New Roman"/>
          <w:sz w:val="24"/>
          <w:szCs w:val="24"/>
        </w:rPr>
        <w:t>: Unmonitored generative coding causes structural refactoring to collapse (dropping from 25% to 3.8% of changed lines) while duplicating code blocks by 81% and doubling two-week code churn (</w:t>
      </w:r>
      <w:proofErr w:type="spellStart"/>
      <w:r w:rsidRPr="00CD20A6">
        <w:rPr>
          <w:rFonts w:ascii="Times New Roman" w:hAnsi="Times New Roman"/>
          <w:sz w:val="24"/>
          <w:szCs w:val="24"/>
        </w:rPr>
        <w:t>GitClear</w:t>
      </w:r>
      <w:proofErr w:type="spellEnd"/>
      <w:r w:rsidRPr="00CD20A6">
        <w:rPr>
          <w:rFonts w:ascii="Times New Roman" w:hAnsi="Times New Roman"/>
          <w:sz w:val="24"/>
          <w:szCs w:val="24"/>
        </w:rPr>
        <w:t>, 2025, 2026). Developers surrender domain context, creating systemic comprehension debt that inflates remediation time during production outages (IJRASET, 2026).</w:t>
      </w:r>
    </w:p>
    <w:p w:rsidR="00CD20A6" w:rsidRPr="00CD20A6" w:rsidRDefault="00CD20A6" w:rsidP="00CD20A6">
      <w:pPr>
        <w:numPr>
          <w:ilvl w:val="0"/>
          <w:numId w:val="6"/>
        </w:numPr>
        <w:spacing w:after="240" w:line="240" w:lineRule="auto"/>
        <w:jc w:val="both"/>
        <w:rPr>
          <w:rFonts w:ascii="Times New Roman" w:hAnsi="Times New Roman"/>
          <w:sz w:val="24"/>
          <w:szCs w:val="24"/>
        </w:rPr>
      </w:pPr>
      <w:r w:rsidRPr="00CD20A6">
        <w:rPr>
          <w:rFonts w:ascii="Times New Roman" w:hAnsi="Times New Roman"/>
          <w:b/>
          <w:bCs/>
          <w:sz w:val="24"/>
          <w:szCs w:val="24"/>
        </w:rPr>
        <w:t>Vulnerabilities in Ungoverned Reviews</w:t>
      </w:r>
      <w:r w:rsidRPr="00CD20A6">
        <w:rPr>
          <w:rFonts w:ascii="Times New Roman" w:hAnsi="Times New Roman"/>
          <w:sz w:val="24"/>
          <w:szCs w:val="24"/>
        </w:rPr>
        <w:t xml:space="preserve">: Automation bias induces visual attention deficits during peer review, leading engineers to rubber-stamp complex, aesthetically polished AI </w:t>
      </w:r>
      <w:proofErr w:type="spellStart"/>
      <w:r w:rsidRPr="00CD20A6">
        <w:rPr>
          <w:rFonts w:ascii="Times New Roman" w:hAnsi="Times New Roman"/>
          <w:sz w:val="24"/>
          <w:szCs w:val="24"/>
        </w:rPr>
        <w:t>diffs</w:t>
      </w:r>
      <w:proofErr w:type="spellEnd"/>
      <w:r w:rsidRPr="00CD20A6">
        <w:rPr>
          <w:rFonts w:ascii="Times New Roman" w:hAnsi="Times New Roman"/>
          <w:sz w:val="24"/>
          <w:szCs w:val="24"/>
        </w:rPr>
        <w:t xml:space="preserve"> (Al </w:t>
      </w:r>
      <w:proofErr w:type="spellStart"/>
      <w:r w:rsidRPr="00CD20A6">
        <w:rPr>
          <w:rFonts w:ascii="Times New Roman" w:hAnsi="Times New Roman"/>
          <w:sz w:val="24"/>
          <w:szCs w:val="24"/>
        </w:rPr>
        <w:t>Madi</w:t>
      </w:r>
      <w:proofErr w:type="spellEnd"/>
      <w:r w:rsidRPr="00CD20A6">
        <w:rPr>
          <w:rFonts w:ascii="Times New Roman" w:hAnsi="Times New Roman"/>
          <w:sz w:val="24"/>
          <w:szCs w:val="24"/>
        </w:rPr>
        <w:t xml:space="preserve"> et al., 2022; Awesome Code Reviews, 2025). Concurrently, stochastic generation yields a 19.7% package hallucination rate, exposing software supply chains to </w:t>
      </w:r>
      <w:proofErr w:type="spellStart"/>
      <w:r w:rsidRPr="00CD20A6">
        <w:rPr>
          <w:rFonts w:ascii="Times New Roman" w:hAnsi="Times New Roman"/>
          <w:sz w:val="24"/>
          <w:szCs w:val="24"/>
        </w:rPr>
        <w:t>slopsquatting</w:t>
      </w:r>
      <w:proofErr w:type="spellEnd"/>
      <w:r w:rsidRPr="00CD20A6">
        <w:rPr>
          <w:rFonts w:ascii="Times New Roman" w:hAnsi="Times New Roman"/>
          <w:sz w:val="24"/>
          <w:szCs w:val="24"/>
        </w:rPr>
        <w:t xml:space="preserve"> attacks where adversaries register fabricated package names with malicious payloads (Echo AI, 2025; InfoWorld, 2025).</w:t>
      </w:r>
    </w:p>
    <w:p w:rsidR="00CD20A6" w:rsidRPr="00CD20A6" w:rsidRDefault="00CD20A6" w:rsidP="00CD20A6">
      <w:pPr>
        <w:numPr>
          <w:ilvl w:val="0"/>
          <w:numId w:val="6"/>
        </w:numPr>
        <w:spacing w:after="240" w:line="240" w:lineRule="auto"/>
        <w:jc w:val="both"/>
        <w:rPr>
          <w:rFonts w:ascii="Times New Roman" w:hAnsi="Times New Roman"/>
          <w:sz w:val="24"/>
          <w:szCs w:val="24"/>
        </w:rPr>
      </w:pPr>
      <w:r w:rsidRPr="00CD20A6">
        <w:rPr>
          <w:rFonts w:ascii="Times New Roman" w:hAnsi="Times New Roman"/>
          <w:b/>
          <w:bCs/>
          <w:sz w:val="24"/>
          <w:szCs w:val="24"/>
        </w:rPr>
        <w:lastRenderedPageBreak/>
        <w:t>Deterministic Guardrails via TDD and SDD</w:t>
      </w:r>
      <w:r w:rsidRPr="00CD20A6">
        <w:rPr>
          <w:rFonts w:ascii="Times New Roman" w:hAnsi="Times New Roman"/>
          <w:sz w:val="24"/>
          <w:szCs w:val="24"/>
        </w:rPr>
        <w:t xml:space="preserve">: Relying on post-hoc, </w:t>
      </w:r>
      <w:proofErr w:type="gramStart"/>
      <w:r w:rsidRPr="00CD20A6">
        <w:rPr>
          <w:rFonts w:ascii="Times New Roman" w:hAnsi="Times New Roman"/>
          <w:sz w:val="24"/>
          <w:szCs w:val="24"/>
        </w:rPr>
        <w:t>AI-generated tests produces</w:t>
      </w:r>
      <w:proofErr w:type="gramEnd"/>
      <w:r w:rsidRPr="00CD20A6">
        <w:rPr>
          <w:rFonts w:ascii="Times New Roman" w:hAnsi="Times New Roman"/>
          <w:sz w:val="24"/>
          <w:szCs w:val="24"/>
        </w:rPr>
        <w:t xml:space="preserve"> circular, tautological verification that masks critical regressions (AI Verification Collaborative, 2025). Test-Driven Development provides an executable mathematical objective function that bounds model outputs (Rosa, 2025), while Specification-Driven Development enforces machine-readable architecture contracts, mitigating security vulnerabilities by up to 73% (</w:t>
      </w:r>
      <w:proofErr w:type="spellStart"/>
      <w:r w:rsidRPr="00CD20A6">
        <w:rPr>
          <w:rFonts w:ascii="Times New Roman" w:hAnsi="Times New Roman"/>
          <w:sz w:val="24"/>
          <w:szCs w:val="24"/>
        </w:rPr>
        <w:t>Autonoma</w:t>
      </w:r>
      <w:proofErr w:type="spellEnd"/>
      <w:r w:rsidRPr="00CD20A6">
        <w:rPr>
          <w:rFonts w:ascii="Times New Roman" w:hAnsi="Times New Roman"/>
          <w:sz w:val="24"/>
          <w:szCs w:val="24"/>
        </w:rPr>
        <w:t xml:space="preserve"> AI Research Group, 2026).</w:t>
      </w:r>
      <w:bookmarkStart w:id="25" w:name="conclusion"/>
      <w:bookmarkEnd w:id="24"/>
    </w:p>
    <w:p w:rsidR="00CD20A6" w:rsidRPr="00CD20A6" w:rsidRDefault="00CD20A6" w:rsidP="00CD20A6">
      <w:pPr>
        <w:pStyle w:val="Heading3"/>
        <w:spacing w:before="0" w:beforeAutospacing="0" w:after="240"/>
        <w:rPr>
          <w:b w:val="0"/>
          <w:bCs/>
          <w:i/>
          <w:iCs/>
        </w:rPr>
      </w:pPr>
      <w:r w:rsidRPr="00CD20A6">
        <w:rPr>
          <w:bCs/>
          <w:i/>
          <w:iCs/>
        </w:rPr>
        <w:t>8.2. Conclusion</w:t>
      </w:r>
    </w:p>
    <w:p w:rsidR="00CD20A6" w:rsidRPr="00CD20A6" w:rsidRDefault="00CD20A6" w:rsidP="00CD20A6">
      <w:pPr>
        <w:pStyle w:val="FirstParagraph"/>
        <w:spacing w:after="240" w:line="240" w:lineRule="auto"/>
        <w:jc w:val="both"/>
        <w:rPr>
          <w:rFonts w:cs="Times New Roman"/>
          <w:sz w:val="24"/>
        </w:rPr>
      </w:pPr>
      <w:r w:rsidRPr="00CD20A6">
        <w:rPr>
          <w:rFonts w:cs="Times New Roman"/>
          <w:sz w:val="24"/>
        </w:rPr>
        <w:t xml:space="preserve">Generative AI does not mark the obsolescence of classical software engineering disciplines; it marks their critical elevation. When source code authoring is commoditized, the differentiator between robust enterprise systems and fragile, </w:t>
      </w:r>
      <w:proofErr w:type="spellStart"/>
      <w:r w:rsidRPr="00CD20A6">
        <w:rPr>
          <w:rFonts w:cs="Times New Roman"/>
          <w:sz w:val="24"/>
        </w:rPr>
        <w:t>unmaintainable</w:t>
      </w:r>
      <w:proofErr w:type="spellEnd"/>
      <w:r w:rsidRPr="00CD20A6">
        <w:rPr>
          <w:rFonts w:cs="Times New Roman"/>
          <w:sz w:val="24"/>
        </w:rPr>
        <w:t xml:space="preserve"> codebases is the rigor of the surrounding engineering constraints.</w:t>
      </w:r>
    </w:p>
    <w:p w:rsidR="00CD20A6" w:rsidRPr="00CD20A6" w:rsidRDefault="00CD20A6" w:rsidP="00CD20A6">
      <w:pPr>
        <w:pStyle w:val="BodyText"/>
        <w:spacing w:before="0" w:beforeAutospacing="0"/>
      </w:pPr>
      <w:r w:rsidRPr="00CD20A6">
        <w:t>In this new paradigm, Test-Driven Development provides the executable boundaries that contain stochastic generation (Rosa, 2025). Peer Code Review serves as the essential human checkpoint against automation bias and supply chain contamination (</w:t>
      </w:r>
      <w:proofErr w:type="spellStart"/>
      <w:r w:rsidRPr="00CD20A6">
        <w:t>Codacy</w:t>
      </w:r>
      <w:proofErr w:type="spellEnd"/>
      <w:r w:rsidRPr="00CD20A6">
        <w:t>, 2026). And modular system architecture ensures that as AI agents generate software components at unprecedented volume, the broader enterprise ecosystem remains robust, comprehensible, and secure (</w:t>
      </w:r>
      <w:proofErr w:type="spellStart"/>
      <w:r w:rsidRPr="00CD20A6">
        <w:t>Farrag</w:t>
      </w:r>
      <w:proofErr w:type="spellEnd"/>
      <w:r w:rsidRPr="00CD20A6">
        <w:t>, 2026). These foundational engineering disciplines are not relics of a pre-AI past; they are the governing systems that make AI-assisted software possible.</w:t>
      </w:r>
    </w:p>
    <w:p w:rsidR="00CD20A6" w:rsidRPr="00CD20A6" w:rsidRDefault="00CD20A6" w:rsidP="00CD20A6">
      <w:pPr>
        <w:pStyle w:val="Heading2"/>
        <w:spacing w:before="0" w:after="240" w:line="240" w:lineRule="auto"/>
        <w:jc w:val="both"/>
        <w:rPr>
          <w:rFonts w:ascii="Times New Roman" w:hAnsi="Times New Roman" w:cs="Times New Roman"/>
          <w:b w:val="0"/>
          <w:bCs w:val="0"/>
          <w:color w:val="auto"/>
          <w:sz w:val="24"/>
          <w:szCs w:val="24"/>
        </w:rPr>
      </w:pPr>
      <w:bookmarkStart w:id="26" w:name="references"/>
      <w:bookmarkEnd w:id="23"/>
      <w:bookmarkEnd w:id="25"/>
      <w:r w:rsidRPr="00CD20A6">
        <w:rPr>
          <w:rFonts w:ascii="Times New Roman" w:hAnsi="Times New Roman" w:cs="Times New Roman"/>
          <w:color w:val="auto"/>
          <w:sz w:val="28"/>
          <w:szCs w:val="24"/>
        </w:rPr>
        <w:t>REFERENCES</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S. Becker, et al., “The Productivity-Reliability Paradox: Specification-Driven Governance for AI-Augmented Software Engineering,” </w:t>
      </w:r>
      <w:proofErr w:type="spellStart"/>
      <w:r w:rsidRPr="00CD20A6">
        <w:rPr>
          <w:rFonts w:ascii="Times New Roman" w:hAnsi="Times New Roman"/>
          <w:i/>
          <w:iCs/>
          <w:sz w:val="24"/>
          <w:szCs w:val="24"/>
        </w:rPr>
        <w:t>arXiv</w:t>
      </w:r>
      <w:proofErr w:type="spellEnd"/>
      <w:r w:rsidRPr="00CD20A6">
        <w:rPr>
          <w:rFonts w:ascii="Times New Roman" w:hAnsi="Times New Roman"/>
          <w:i/>
          <w:iCs/>
          <w:sz w:val="24"/>
          <w:szCs w:val="24"/>
        </w:rPr>
        <w:t xml:space="preserve"> preprint arXiv</w:t>
      </w:r>
      <w:proofErr w:type="gramStart"/>
      <w:r w:rsidRPr="00CD20A6">
        <w:rPr>
          <w:rFonts w:ascii="Times New Roman" w:hAnsi="Times New Roman"/>
          <w:i/>
          <w:iCs/>
          <w:sz w:val="24"/>
          <w:szCs w:val="24"/>
        </w:rPr>
        <w:t>:2605.01160</w:t>
      </w:r>
      <w:proofErr w:type="gramEnd"/>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GitClear</w:t>
      </w:r>
      <w:proofErr w:type="spellEnd"/>
      <w:r w:rsidRPr="00CD20A6">
        <w:rPr>
          <w:rFonts w:ascii="Times New Roman" w:hAnsi="Times New Roman"/>
          <w:sz w:val="24"/>
          <w:szCs w:val="24"/>
        </w:rPr>
        <w:t xml:space="preserve"> Research Team, “Coding on Copilot: 2023 Data Suggests Downward Pressure on Code Quality,” </w:t>
      </w:r>
      <w:proofErr w:type="spellStart"/>
      <w:r w:rsidRPr="00CD20A6">
        <w:rPr>
          <w:rFonts w:ascii="Times New Roman" w:hAnsi="Times New Roman"/>
          <w:i/>
          <w:iCs/>
          <w:sz w:val="24"/>
          <w:szCs w:val="24"/>
        </w:rPr>
        <w:t>GitClear</w:t>
      </w:r>
      <w:proofErr w:type="spellEnd"/>
      <w:r w:rsidRPr="00CD20A6">
        <w:rPr>
          <w:rFonts w:ascii="Times New Roman" w:hAnsi="Times New Roman"/>
          <w:i/>
          <w:iCs/>
          <w:sz w:val="24"/>
          <w:szCs w:val="24"/>
        </w:rPr>
        <w:t xml:space="preserve"> Technical Report</w:t>
      </w:r>
      <w:r w:rsidRPr="00CD20A6">
        <w:rPr>
          <w:rFonts w:ascii="Times New Roman" w:hAnsi="Times New Roman"/>
          <w:sz w:val="24"/>
          <w:szCs w:val="24"/>
        </w:rPr>
        <w:t>, 2024.</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H. </w:t>
      </w:r>
      <w:proofErr w:type="spellStart"/>
      <w:r w:rsidRPr="00CD20A6">
        <w:rPr>
          <w:rFonts w:ascii="Times New Roman" w:hAnsi="Times New Roman"/>
          <w:sz w:val="24"/>
          <w:szCs w:val="24"/>
        </w:rPr>
        <w:t>Farrag</w:t>
      </w:r>
      <w:proofErr w:type="spellEnd"/>
      <w:r w:rsidRPr="00CD20A6">
        <w:rPr>
          <w:rFonts w:ascii="Times New Roman" w:hAnsi="Times New Roman"/>
          <w:sz w:val="24"/>
          <w:szCs w:val="24"/>
        </w:rPr>
        <w:t xml:space="preserve">, “Specification-Driven Governance for AI-Augmented Software Development Lifecycles,” </w:t>
      </w:r>
      <w:proofErr w:type="spellStart"/>
      <w:r w:rsidRPr="00CD20A6">
        <w:rPr>
          <w:rFonts w:ascii="Times New Roman" w:hAnsi="Times New Roman"/>
          <w:i/>
          <w:iCs/>
          <w:sz w:val="24"/>
          <w:szCs w:val="24"/>
        </w:rPr>
        <w:t>arXiv</w:t>
      </w:r>
      <w:proofErr w:type="spellEnd"/>
      <w:r w:rsidRPr="00CD20A6">
        <w:rPr>
          <w:rFonts w:ascii="Times New Roman" w:hAnsi="Times New Roman"/>
          <w:i/>
          <w:iCs/>
          <w:sz w:val="24"/>
          <w:szCs w:val="24"/>
        </w:rPr>
        <w:t xml:space="preserve"> preprint arXiv</w:t>
      </w:r>
      <w:proofErr w:type="gramStart"/>
      <w:r w:rsidRPr="00CD20A6">
        <w:rPr>
          <w:rFonts w:ascii="Times New Roman" w:hAnsi="Times New Roman"/>
          <w:i/>
          <w:iCs/>
          <w:sz w:val="24"/>
          <w:szCs w:val="24"/>
        </w:rPr>
        <w:t>:2605.01160v1</w:t>
      </w:r>
      <w:proofErr w:type="gramEnd"/>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S. </w:t>
      </w:r>
      <w:proofErr w:type="spellStart"/>
      <w:r w:rsidRPr="00CD20A6">
        <w:rPr>
          <w:rFonts w:ascii="Times New Roman" w:hAnsi="Times New Roman"/>
          <w:sz w:val="24"/>
          <w:szCs w:val="24"/>
        </w:rPr>
        <w:t>Peng</w:t>
      </w:r>
      <w:proofErr w:type="spellEnd"/>
      <w:r w:rsidRPr="00CD20A6">
        <w:rPr>
          <w:rFonts w:ascii="Times New Roman" w:hAnsi="Times New Roman"/>
          <w:sz w:val="24"/>
          <w:szCs w:val="24"/>
        </w:rPr>
        <w:t xml:space="preserve">, E. </w:t>
      </w:r>
      <w:proofErr w:type="spellStart"/>
      <w:r w:rsidRPr="00CD20A6">
        <w:rPr>
          <w:rFonts w:ascii="Times New Roman" w:hAnsi="Times New Roman"/>
          <w:sz w:val="24"/>
          <w:szCs w:val="24"/>
        </w:rPr>
        <w:t>Kalliamvakou</w:t>
      </w:r>
      <w:proofErr w:type="spellEnd"/>
      <w:r w:rsidRPr="00CD20A6">
        <w:rPr>
          <w:rFonts w:ascii="Times New Roman" w:hAnsi="Times New Roman"/>
          <w:sz w:val="24"/>
          <w:szCs w:val="24"/>
        </w:rPr>
        <w:t xml:space="preserve">, P. </w:t>
      </w:r>
      <w:proofErr w:type="spellStart"/>
      <w:r w:rsidRPr="00CD20A6">
        <w:rPr>
          <w:rFonts w:ascii="Times New Roman" w:hAnsi="Times New Roman"/>
          <w:sz w:val="24"/>
          <w:szCs w:val="24"/>
        </w:rPr>
        <w:t>Cihon</w:t>
      </w:r>
      <w:proofErr w:type="spellEnd"/>
      <w:r w:rsidRPr="00CD20A6">
        <w:rPr>
          <w:rFonts w:ascii="Times New Roman" w:hAnsi="Times New Roman"/>
          <w:sz w:val="24"/>
          <w:szCs w:val="24"/>
        </w:rPr>
        <w:t xml:space="preserve">, and M. </w:t>
      </w:r>
      <w:proofErr w:type="spellStart"/>
      <w:r w:rsidRPr="00CD20A6">
        <w:rPr>
          <w:rFonts w:ascii="Times New Roman" w:hAnsi="Times New Roman"/>
          <w:sz w:val="24"/>
          <w:szCs w:val="24"/>
        </w:rPr>
        <w:t>Demirer</w:t>
      </w:r>
      <w:proofErr w:type="spellEnd"/>
      <w:r w:rsidRPr="00CD20A6">
        <w:rPr>
          <w:rFonts w:ascii="Times New Roman" w:hAnsi="Times New Roman"/>
          <w:sz w:val="24"/>
          <w:szCs w:val="24"/>
        </w:rPr>
        <w:t xml:space="preserve">, “The Impact of AI on Developer Productivity: Evidence from </w:t>
      </w:r>
      <w:proofErr w:type="spellStart"/>
      <w:r w:rsidRPr="00CD20A6">
        <w:rPr>
          <w:rFonts w:ascii="Times New Roman" w:hAnsi="Times New Roman"/>
          <w:sz w:val="24"/>
          <w:szCs w:val="24"/>
        </w:rPr>
        <w:t>GitHub</w:t>
      </w:r>
      <w:proofErr w:type="spellEnd"/>
      <w:r w:rsidRPr="00CD20A6">
        <w:rPr>
          <w:rFonts w:ascii="Times New Roman" w:hAnsi="Times New Roman"/>
          <w:sz w:val="24"/>
          <w:szCs w:val="24"/>
        </w:rPr>
        <w:t xml:space="preserve"> Copilot,” </w:t>
      </w:r>
      <w:proofErr w:type="spellStart"/>
      <w:r w:rsidRPr="00CD20A6">
        <w:rPr>
          <w:rFonts w:ascii="Times New Roman" w:hAnsi="Times New Roman"/>
          <w:i/>
          <w:iCs/>
          <w:sz w:val="24"/>
          <w:szCs w:val="24"/>
        </w:rPr>
        <w:t>arXiv</w:t>
      </w:r>
      <w:proofErr w:type="spellEnd"/>
      <w:r w:rsidRPr="00CD20A6">
        <w:rPr>
          <w:rFonts w:ascii="Times New Roman" w:hAnsi="Times New Roman"/>
          <w:i/>
          <w:iCs/>
          <w:sz w:val="24"/>
          <w:szCs w:val="24"/>
        </w:rPr>
        <w:t xml:space="preserve"> preprint arXiv</w:t>
      </w:r>
      <w:proofErr w:type="gramStart"/>
      <w:r w:rsidRPr="00CD20A6">
        <w:rPr>
          <w:rFonts w:ascii="Times New Roman" w:hAnsi="Times New Roman"/>
          <w:i/>
          <w:iCs/>
          <w:sz w:val="24"/>
          <w:szCs w:val="24"/>
        </w:rPr>
        <w:t>:2302.06590</w:t>
      </w:r>
      <w:proofErr w:type="gramEnd"/>
      <w:r w:rsidRPr="00CD20A6">
        <w:rPr>
          <w:rFonts w:ascii="Times New Roman" w:hAnsi="Times New Roman"/>
          <w:sz w:val="24"/>
          <w:szCs w:val="24"/>
        </w:rPr>
        <w:t>, 2023.</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GitClear</w:t>
      </w:r>
      <w:proofErr w:type="spellEnd"/>
      <w:r w:rsidRPr="00CD20A6">
        <w:rPr>
          <w:rFonts w:ascii="Times New Roman" w:hAnsi="Times New Roman"/>
          <w:sz w:val="24"/>
          <w:szCs w:val="24"/>
        </w:rPr>
        <w:t xml:space="preserve"> Research Team, “AI Copilot Code Quality: Evaluating 2024’s Increased Defect Rate,” </w:t>
      </w:r>
      <w:proofErr w:type="spellStart"/>
      <w:r w:rsidRPr="00CD20A6">
        <w:rPr>
          <w:rFonts w:ascii="Times New Roman" w:hAnsi="Times New Roman"/>
          <w:i/>
          <w:iCs/>
          <w:sz w:val="24"/>
          <w:szCs w:val="24"/>
        </w:rPr>
        <w:t>GitClear</w:t>
      </w:r>
      <w:proofErr w:type="spellEnd"/>
      <w:r w:rsidRPr="00CD20A6">
        <w:rPr>
          <w:rFonts w:ascii="Times New Roman" w:hAnsi="Times New Roman"/>
          <w:i/>
          <w:iCs/>
          <w:sz w:val="24"/>
          <w:szCs w:val="24"/>
        </w:rPr>
        <w:t xml:space="preserve"> Longitudinal Study</w:t>
      </w:r>
      <w:r w:rsidRPr="00CD20A6">
        <w:rPr>
          <w:rFonts w:ascii="Times New Roman" w:hAnsi="Times New Roman"/>
          <w:sz w:val="24"/>
          <w:szCs w:val="24"/>
        </w:rPr>
        <w:t>, 2025.</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GitClear</w:t>
      </w:r>
      <w:proofErr w:type="spellEnd"/>
      <w:r w:rsidRPr="00CD20A6">
        <w:rPr>
          <w:rFonts w:ascii="Times New Roman" w:hAnsi="Times New Roman"/>
          <w:sz w:val="24"/>
          <w:szCs w:val="24"/>
        </w:rPr>
        <w:t xml:space="preserve"> Research Team, “The Maintainability Gap: 2026 AI Code Quality Research,” </w:t>
      </w:r>
      <w:proofErr w:type="spellStart"/>
      <w:r w:rsidRPr="00CD20A6">
        <w:rPr>
          <w:rFonts w:ascii="Times New Roman" w:hAnsi="Times New Roman"/>
          <w:i/>
          <w:iCs/>
          <w:sz w:val="24"/>
          <w:szCs w:val="24"/>
        </w:rPr>
        <w:t>GitClear</w:t>
      </w:r>
      <w:proofErr w:type="spellEnd"/>
      <w:r w:rsidRPr="00CD20A6">
        <w:rPr>
          <w:rFonts w:ascii="Times New Roman" w:hAnsi="Times New Roman"/>
          <w:i/>
          <w:iCs/>
          <w:sz w:val="24"/>
          <w:szCs w:val="24"/>
        </w:rPr>
        <w:t xml:space="preserve"> White Paper</w:t>
      </w:r>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G. </w:t>
      </w:r>
      <w:proofErr w:type="spellStart"/>
      <w:r w:rsidRPr="00CD20A6">
        <w:rPr>
          <w:rFonts w:ascii="Times New Roman" w:hAnsi="Times New Roman"/>
          <w:sz w:val="24"/>
          <w:szCs w:val="24"/>
        </w:rPr>
        <w:t>Gaurav</w:t>
      </w:r>
      <w:proofErr w:type="spellEnd"/>
      <w:r w:rsidRPr="00CD20A6">
        <w:rPr>
          <w:rFonts w:ascii="Times New Roman" w:hAnsi="Times New Roman"/>
          <w:sz w:val="24"/>
          <w:szCs w:val="24"/>
        </w:rPr>
        <w:t xml:space="preserve">, “Mistaking Code Production for Engineering Progress in the Age of Generative AI,” </w:t>
      </w:r>
      <w:r w:rsidRPr="00CD20A6">
        <w:rPr>
          <w:rFonts w:ascii="Times New Roman" w:hAnsi="Times New Roman"/>
          <w:i/>
          <w:iCs/>
          <w:sz w:val="24"/>
          <w:szCs w:val="24"/>
        </w:rPr>
        <w:t>Technical Perspectives in Computing</w:t>
      </w:r>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H. </w:t>
      </w:r>
      <w:proofErr w:type="spellStart"/>
      <w:r w:rsidRPr="00CD20A6">
        <w:rPr>
          <w:rFonts w:ascii="Times New Roman" w:hAnsi="Times New Roman"/>
          <w:sz w:val="24"/>
          <w:szCs w:val="24"/>
        </w:rPr>
        <w:t>Farrag</w:t>
      </w:r>
      <w:proofErr w:type="spellEnd"/>
      <w:r w:rsidRPr="00CD20A6">
        <w:rPr>
          <w:rFonts w:ascii="Times New Roman" w:hAnsi="Times New Roman"/>
          <w:sz w:val="24"/>
          <w:szCs w:val="24"/>
        </w:rPr>
        <w:t xml:space="preserve">, “Specification-Driven Governance for AI-Augmented Software Engineering,” </w:t>
      </w:r>
      <w:proofErr w:type="spellStart"/>
      <w:r w:rsidRPr="00CD20A6">
        <w:rPr>
          <w:rFonts w:ascii="Times New Roman" w:hAnsi="Times New Roman"/>
          <w:i/>
          <w:iCs/>
          <w:sz w:val="24"/>
          <w:szCs w:val="24"/>
        </w:rPr>
        <w:t>arXiv</w:t>
      </w:r>
      <w:proofErr w:type="spellEnd"/>
      <w:r w:rsidRPr="00CD20A6">
        <w:rPr>
          <w:rFonts w:ascii="Times New Roman" w:hAnsi="Times New Roman"/>
          <w:i/>
          <w:iCs/>
          <w:sz w:val="24"/>
          <w:szCs w:val="24"/>
        </w:rPr>
        <w:t xml:space="preserve"> preprint arXiv</w:t>
      </w:r>
      <w:proofErr w:type="gramStart"/>
      <w:r w:rsidRPr="00CD20A6">
        <w:rPr>
          <w:rFonts w:ascii="Times New Roman" w:hAnsi="Times New Roman"/>
          <w:i/>
          <w:iCs/>
          <w:sz w:val="24"/>
          <w:szCs w:val="24"/>
        </w:rPr>
        <w:t>:2605.01160</w:t>
      </w:r>
      <w:proofErr w:type="gramEnd"/>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Open </w:t>
      </w:r>
      <w:proofErr w:type="spellStart"/>
      <w:r w:rsidRPr="00CD20A6">
        <w:rPr>
          <w:rFonts w:ascii="Times New Roman" w:hAnsi="Times New Roman"/>
          <w:sz w:val="24"/>
          <w:szCs w:val="24"/>
        </w:rPr>
        <w:t>Mercato</w:t>
      </w:r>
      <w:proofErr w:type="spellEnd"/>
      <w:r w:rsidRPr="00CD20A6">
        <w:rPr>
          <w:rFonts w:ascii="Times New Roman" w:hAnsi="Times New Roman"/>
          <w:sz w:val="24"/>
          <w:szCs w:val="24"/>
        </w:rPr>
        <w:t xml:space="preserve"> Engineering Group, “Claude Code </w:t>
      </w:r>
      <w:proofErr w:type="spellStart"/>
      <w:r w:rsidRPr="00CD20A6">
        <w:rPr>
          <w:rFonts w:ascii="Times New Roman" w:hAnsi="Times New Roman"/>
          <w:sz w:val="24"/>
          <w:szCs w:val="24"/>
        </w:rPr>
        <w:t>vs</w:t>
      </w:r>
      <w:proofErr w:type="spellEnd"/>
      <w:r w:rsidRPr="00CD20A6">
        <w:rPr>
          <w:rFonts w:ascii="Times New Roman" w:hAnsi="Times New Roman"/>
          <w:sz w:val="24"/>
          <w:szCs w:val="24"/>
        </w:rPr>
        <w:t xml:space="preserve"> Open </w:t>
      </w:r>
      <w:proofErr w:type="spellStart"/>
      <w:r w:rsidRPr="00CD20A6">
        <w:rPr>
          <w:rFonts w:ascii="Times New Roman" w:hAnsi="Times New Roman"/>
          <w:sz w:val="24"/>
          <w:szCs w:val="24"/>
        </w:rPr>
        <w:t>Mercato</w:t>
      </w:r>
      <w:proofErr w:type="spellEnd"/>
      <w:r w:rsidRPr="00CD20A6">
        <w:rPr>
          <w:rFonts w:ascii="Times New Roman" w:hAnsi="Times New Roman"/>
          <w:sz w:val="24"/>
          <w:szCs w:val="24"/>
        </w:rPr>
        <w:t xml:space="preserve">: Architectural Boundaries and Systems Engineering,” </w:t>
      </w:r>
      <w:r w:rsidRPr="00CD20A6">
        <w:rPr>
          <w:rFonts w:ascii="Times New Roman" w:hAnsi="Times New Roman"/>
          <w:i/>
          <w:iCs/>
          <w:sz w:val="24"/>
          <w:szCs w:val="24"/>
        </w:rPr>
        <w:t xml:space="preserve">Open </w:t>
      </w:r>
      <w:proofErr w:type="spellStart"/>
      <w:r w:rsidRPr="00CD20A6">
        <w:rPr>
          <w:rFonts w:ascii="Times New Roman" w:hAnsi="Times New Roman"/>
          <w:i/>
          <w:iCs/>
          <w:sz w:val="24"/>
          <w:szCs w:val="24"/>
        </w:rPr>
        <w:t>Mercato</w:t>
      </w:r>
      <w:proofErr w:type="spellEnd"/>
      <w:r w:rsidRPr="00CD20A6">
        <w:rPr>
          <w:rFonts w:ascii="Times New Roman" w:hAnsi="Times New Roman"/>
          <w:i/>
          <w:iCs/>
          <w:sz w:val="24"/>
          <w:szCs w:val="24"/>
        </w:rPr>
        <w:t xml:space="preserve"> Systems Journal</w:t>
      </w:r>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N. Perry, M. </w:t>
      </w:r>
      <w:proofErr w:type="spellStart"/>
      <w:r w:rsidRPr="00CD20A6">
        <w:rPr>
          <w:rFonts w:ascii="Times New Roman" w:hAnsi="Times New Roman"/>
          <w:sz w:val="24"/>
          <w:szCs w:val="24"/>
        </w:rPr>
        <w:t>Srivastava</w:t>
      </w:r>
      <w:proofErr w:type="spellEnd"/>
      <w:r w:rsidRPr="00CD20A6">
        <w:rPr>
          <w:rFonts w:ascii="Times New Roman" w:hAnsi="Times New Roman"/>
          <w:sz w:val="24"/>
          <w:szCs w:val="24"/>
        </w:rPr>
        <w:t xml:space="preserve">, K. Kumar, and D. </w:t>
      </w:r>
      <w:proofErr w:type="spellStart"/>
      <w:r w:rsidRPr="00CD20A6">
        <w:rPr>
          <w:rFonts w:ascii="Times New Roman" w:hAnsi="Times New Roman"/>
          <w:sz w:val="24"/>
          <w:szCs w:val="24"/>
        </w:rPr>
        <w:t>Boneh</w:t>
      </w:r>
      <w:proofErr w:type="spellEnd"/>
      <w:r w:rsidRPr="00CD20A6">
        <w:rPr>
          <w:rFonts w:ascii="Times New Roman" w:hAnsi="Times New Roman"/>
          <w:sz w:val="24"/>
          <w:szCs w:val="24"/>
        </w:rPr>
        <w:t>, “Do Users Write More Insecure Code with AI Assistants</w:t>
      </w:r>
      <w:proofErr w:type="gramStart"/>
      <w:r w:rsidRPr="00CD20A6">
        <w:rPr>
          <w:rFonts w:ascii="Times New Roman" w:hAnsi="Times New Roman"/>
          <w:sz w:val="24"/>
          <w:szCs w:val="24"/>
        </w:rPr>
        <w:t>?,</w:t>
      </w:r>
      <w:proofErr w:type="gramEnd"/>
      <w:r w:rsidRPr="00CD20A6">
        <w:rPr>
          <w:rFonts w:ascii="Times New Roman" w:hAnsi="Times New Roman"/>
          <w:sz w:val="24"/>
          <w:szCs w:val="24"/>
        </w:rPr>
        <w:t xml:space="preserve">” in </w:t>
      </w:r>
      <w:r w:rsidRPr="00CD20A6">
        <w:rPr>
          <w:rFonts w:ascii="Times New Roman" w:hAnsi="Times New Roman"/>
          <w:i/>
          <w:iCs/>
          <w:sz w:val="24"/>
          <w:szCs w:val="24"/>
        </w:rPr>
        <w:t>Proceedings of the ACM SIGSAC Conference on Computer and Communications Security (CCS)</w:t>
      </w:r>
      <w:r w:rsidRPr="00CD20A6">
        <w:rPr>
          <w:rFonts w:ascii="Times New Roman" w:hAnsi="Times New Roman"/>
          <w:sz w:val="24"/>
          <w:szCs w:val="24"/>
        </w:rPr>
        <w:t>, 2023, pp. 2785–2799.</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Codacy</w:t>
      </w:r>
      <w:proofErr w:type="spellEnd"/>
      <w:r w:rsidRPr="00CD20A6">
        <w:rPr>
          <w:rFonts w:ascii="Times New Roman" w:hAnsi="Times New Roman"/>
          <w:sz w:val="24"/>
          <w:szCs w:val="24"/>
        </w:rPr>
        <w:t xml:space="preserve"> Engineering Team, “Automation Bias in AI-Generated Code Review: Why Clean Code Still Ships Broken,” </w:t>
      </w:r>
      <w:proofErr w:type="spellStart"/>
      <w:r w:rsidRPr="00CD20A6">
        <w:rPr>
          <w:rFonts w:ascii="Times New Roman" w:hAnsi="Times New Roman"/>
          <w:i/>
          <w:iCs/>
          <w:sz w:val="24"/>
          <w:szCs w:val="24"/>
        </w:rPr>
        <w:t>Codacy</w:t>
      </w:r>
      <w:proofErr w:type="spellEnd"/>
      <w:r w:rsidRPr="00CD20A6">
        <w:rPr>
          <w:rFonts w:ascii="Times New Roman" w:hAnsi="Times New Roman"/>
          <w:i/>
          <w:iCs/>
          <w:sz w:val="24"/>
          <w:szCs w:val="24"/>
        </w:rPr>
        <w:t xml:space="preserve"> Technical Publications</w:t>
      </w:r>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CodeRabbit</w:t>
      </w:r>
      <w:proofErr w:type="spellEnd"/>
      <w:r w:rsidRPr="00CD20A6">
        <w:rPr>
          <w:rFonts w:ascii="Times New Roman" w:hAnsi="Times New Roman"/>
          <w:sz w:val="24"/>
          <w:szCs w:val="24"/>
        </w:rPr>
        <w:t xml:space="preserve"> Research, “Vibe Coding and Surprise Technical Debt: The Pitfalls of Ungoverned Synthesis,” </w:t>
      </w:r>
      <w:proofErr w:type="spellStart"/>
      <w:r w:rsidRPr="00CD20A6">
        <w:rPr>
          <w:rFonts w:ascii="Times New Roman" w:hAnsi="Times New Roman"/>
          <w:i/>
          <w:iCs/>
          <w:sz w:val="24"/>
          <w:szCs w:val="24"/>
        </w:rPr>
        <w:t>CodeRabbit</w:t>
      </w:r>
      <w:proofErr w:type="spellEnd"/>
      <w:r w:rsidRPr="00CD20A6">
        <w:rPr>
          <w:rFonts w:ascii="Times New Roman" w:hAnsi="Times New Roman"/>
          <w:i/>
          <w:iCs/>
          <w:sz w:val="24"/>
          <w:szCs w:val="24"/>
        </w:rPr>
        <w:t xml:space="preserve"> Engineering Reports</w:t>
      </w:r>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G. Brown, “The AI Reviewer’s Hangover: Why Your Engineers Are Exhausted and How to Fix Modern Code Review,” </w:t>
      </w:r>
      <w:r w:rsidRPr="00CD20A6">
        <w:rPr>
          <w:rFonts w:ascii="Times New Roman" w:hAnsi="Times New Roman"/>
          <w:i/>
          <w:iCs/>
          <w:sz w:val="24"/>
          <w:szCs w:val="24"/>
        </w:rPr>
        <w:t>Software Leadership Insights</w:t>
      </w:r>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GitClear</w:t>
      </w:r>
      <w:proofErr w:type="spellEnd"/>
      <w:r w:rsidRPr="00CD20A6">
        <w:rPr>
          <w:rFonts w:ascii="Times New Roman" w:hAnsi="Times New Roman"/>
          <w:sz w:val="24"/>
          <w:szCs w:val="24"/>
        </w:rPr>
        <w:t xml:space="preserve"> Analytics, “Coding on Copilot: Repository Telemetry </w:t>
      </w:r>
      <w:proofErr w:type="gramStart"/>
      <w:r w:rsidRPr="00CD20A6">
        <w:rPr>
          <w:rFonts w:ascii="Times New Roman" w:hAnsi="Times New Roman"/>
          <w:sz w:val="24"/>
          <w:szCs w:val="24"/>
        </w:rPr>
        <w:t>Across</w:t>
      </w:r>
      <w:proofErr w:type="gramEnd"/>
      <w:r w:rsidRPr="00CD20A6">
        <w:rPr>
          <w:rFonts w:ascii="Times New Roman" w:hAnsi="Times New Roman"/>
          <w:sz w:val="24"/>
          <w:szCs w:val="24"/>
        </w:rPr>
        <w:t xml:space="preserve"> Enterprise Systems,” </w:t>
      </w:r>
      <w:proofErr w:type="spellStart"/>
      <w:r w:rsidRPr="00CD20A6">
        <w:rPr>
          <w:rFonts w:ascii="Times New Roman" w:hAnsi="Times New Roman"/>
          <w:i/>
          <w:iCs/>
          <w:sz w:val="24"/>
          <w:szCs w:val="24"/>
        </w:rPr>
        <w:t>GitClear</w:t>
      </w:r>
      <w:proofErr w:type="spellEnd"/>
      <w:r w:rsidRPr="00CD20A6">
        <w:rPr>
          <w:rFonts w:ascii="Times New Roman" w:hAnsi="Times New Roman"/>
          <w:i/>
          <w:iCs/>
          <w:sz w:val="24"/>
          <w:szCs w:val="24"/>
        </w:rPr>
        <w:t xml:space="preserve"> Research Archives</w:t>
      </w:r>
      <w:r w:rsidRPr="00CD20A6">
        <w:rPr>
          <w:rFonts w:ascii="Times New Roman" w:hAnsi="Times New Roman"/>
          <w:sz w:val="24"/>
          <w:szCs w:val="24"/>
        </w:rPr>
        <w:t>, 2024.</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Equant</w:t>
      </w:r>
      <w:proofErr w:type="spellEnd"/>
      <w:r w:rsidRPr="00CD20A6">
        <w:rPr>
          <w:rFonts w:ascii="Times New Roman" w:hAnsi="Times New Roman"/>
          <w:sz w:val="24"/>
          <w:szCs w:val="24"/>
        </w:rPr>
        <w:t xml:space="preserve"> Editorial, “Coding on Copilot: Data Suggests Downward Pressure on Long-Term Code Quality,” </w:t>
      </w:r>
      <w:r w:rsidRPr="00CD20A6">
        <w:rPr>
          <w:rFonts w:ascii="Times New Roman" w:hAnsi="Times New Roman"/>
          <w:i/>
          <w:iCs/>
          <w:sz w:val="24"/>
          <w:szCs w:val="24"/>
        </w:rPr>
        <w:t>Software Engineering Practice</w:t>
      </w:r>
      <w:r w:rsidRPr="00CD20A6">
        <w:rPr>
          <w:rFonts w:ascii="Times New Roman" w:hAnsi="Times New Roman"/>
          <w:sz w:val="24"/>
          <w:szCs w:val="24"/>
        </w:rPr>
        <w:t>, 2024.</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Sogeti</w:t>
      </w:r>
      <w:proofErr w:type="spellEnd"/>
      <w:r w:rsidRPr="00CD20A6">
        <w:rPr>
          <w:rFonts w:ascii="Times New Roman" w:hAnsi="Times New Roman"/>
          <w:sz w:val="24"/>
          <w:szCs w:val="24"/>
        </w:rPr>
        <w:t xml:space="preserve"> Labs, “AI and Software Quality: The Speed Illusion </w:t>
      </w:r>
      <w:proofErr w:type="gramStart"/>
      <w:r w:rsidRPr="00CD20A6">
        <w:rPr>
          <w:rFonts w:ascii="Times New Roman" w:hAnsi="Times New Roman"/>
          <w:sz w:val="24"/>
          <w:szCs w:val="24"/>
        </w:rPr>
        <w:t>Against</w:t>
      </w:r>
      <w:proofErr w:type="gramEnd"/>
      <w:r w:rsidRPr="00CD20A6">
        <w:rPr>
          <w:rFonts w:ascii="Times New Roman" w:hAnsi="Times New Roman"/>
          <w:sz w:val="24"/>
          <w:szCs w:val="24"/>
        </w:rPr>
        <w:t xml:space="preserve"> the Wall of Cognitive Debt,” </w:t>
      </w:r>
      <w:proofErr w:type="spellStart"/>
      <w:r w:rsidRPr="00CD20A6">
        <w:rPr>
          <w:rFonts w:ascii="Times New Roman" w:hAnsi="Times New Roman"/>
          <w:i/>
          <w:iCs/>
          <w:sz w:val="24"/>
          <w:szCs w:val="24"/>
        </w:rPr>
        <w:t>Sogeti</w:t>
      </w:r>
      <w:proofErr w:type="spellEnd"/>
      <w:r w:rsidRPr="00CD20A6">
        <w:rPr>
          <w:rFonts w:ascii="Times New Roman" w:hAnsi="Times New Roman"/>
          <w:i/>
          <w:iCs/>
          <w:sz w:val="24"/>
          <w:szCs w:val="24"/>
        </w:rPr>
        <w:t xml:space="preserve"> Technology Reports</w:t>
      </w:r>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lastRenderedPageBreak/>
        <w:t xml:space="preserve">IJRASET Research Collaborative, “A Controlled Study of Fifty Mid-Level Software Engineers: Defect Detection Accuracy in AI-Assisted Debugging,” </w:t>
      </w:r>
      <w:r w:rsidRPr="00CD20A6">
        <w:rPr>
          <w:rFonts w:ascii="Times New Roman" w:hAnsi="Times New Roman"/>
          <w:i/>
          <w:iCs/>
          <w:sz w:val="24"/>
          <w:szCs w:val="24"/>
        </w:rPr>
        <w:t>International Journal for Research in Applied Science and Engineering Technology</w:t>
      </w:r>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Codemanship</w:t>
      </w:r>
      <w:proofErr w:type="spellEnd"/>
      <w:r w:rsidRPr="00CD20A6">
        <w:rPr>
          <w:rFonts w:ascii="Times New Roman" w:hAnsi="Times New Roman"/>
          <w:sz w:val="24"/>
          <w:szCs w:val="24"/>
        </w:rPr>
        <w:t xml:space="preserve"> Institute, “Rely On AI And Get Left Behind: Is Comprehension Debt in Your Enterprise Risk Register</w:t>
      </w:r>
      <w:proofErr w:type="gramStart"/>
      <w:r w:rsidRPr="00CD20A6">
        <w:rPr>
          <w:rFonts w:ascii="Times New Roman" w:hAnsi="Times New Roman"/>
          <w:sz w:val="24"/>
          <w:szCs w:val="24"/>
        </w:rPr>
        <w:t>?,</w:t>
      </w:r>
      <w:proofErr w:type="gramEnd"/>
      <w:r w:rsidRPr="00CD20A6">
        <w:rPr>
          <w:rFonts w:ascii="Times New Roman" w:hAnsi="Times New Roman"/>
          <w:sz w:val="24"/>
          <w:szCs w:val="24"/>
        </w:rPr>
        <w:t xml:space="preserve">” </w:t>
      </w:r>
      <w:proofErr w:type="spellStart"/>
      <w:r w:rsidRPr="00CD20A6">
        <w:rPr>
          <w:rFonts w:ascii="Times New Roman" w:hAnsi="Times New Roman"/>
          <w:i/>
          <w:iCs/>
          <w:sz w:val="24"/>
          <w:szCs w:val="24"/>
        </w:rPr>
        <w:t>Codemanship</w:t>
      </w:r>
      <w:proofErr w:type="spellEnd"/>
      <w:r w:rsidRPr="00CD20A6">
        <w:rPr>
          <w:rFonts w:ascii="Times New Roman" w:hAnsi="Times New Roman"/>
          <w:i/>
          <w:iCs/>
          <w:sz w:val="24"/>
          <w:szCs w:val="24"/>
        </w:rPr>
        <w:t xml:space="preserve"> Technical Papers</w:t>
      </w:r>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N. Al </w:t>
      </w:r>
      <w:proofErr w:type="spellStart"/>
      <w:r w:rsidRPr="00CD20A6">
        <w:rPr>
          <w:rFonts w:ascii="Times New Roman" w:hAnsi="Times New Roman"/>
          <w:sz w:val="24"/>
          <w:szCs w:val="24"/>
        </w:rPr>
        <w:t>Madi</w:t>
      </w:r>
      <w:proofErr w:type="spellEnd"/>
      <w:r w:rsidRPr="00CD20A6">
        <w:rPr>
          <w:rFonts w:ascii="Times New Roman" w:hAnsi="Times New Roman"/>
          <w:sz w:val="24"/>
          <w:szCs w:val="24"/>
        </w:rPr>
        <w:t xml:space="preserve">, et al., “How Readable is Model-generated Code? Examining Developer Visual Attention via Eye-Tracking,” </w:t>
      </w:r>
      <w:proofErr w:type="spellStart"/>
      <w:r w:rsidRPr="00CD20A6">
        <w:rPr>
          <w:rFonts w:ascii="Times New Roman" w:hAnsi="Times New Roman"/>
          <w:i/>
          <w:iCs/>
          <w:sz w:val="24"/>
          <w:szCs w:val="24"/>
        </w:rPr>
        <w:t>arXiv</w:t>
      </w:r>
      <w:proofErr w:type="spellEnd"/>
      <w:r w:rsidRPr="00CD20A6">
        <w:rPr>
          <w:rFonts w:ascii="Times New Roman" w:hAnsi="Times New Roman"/>
          <w:i/>
          <w:iCs/>
          <w:sz w:val="24"/>
          <w:szCs w:val="24"/>
        </w:rPr>
        <w:t xml:space="preserve"> preprint arXiv</w:t>
      </w:r>
      <w:proofErr w:type="gramStart"/>
      <w:r w:rsidRPr="00CD20A6">
        <w:rPr>
          <w:rFonts w:ascii="Times New Roman" w:hAnsi="Times New Roman"/>
          <w:i/>
          <w:iCs/>
          <w:sz w:val="24"/>
          <w:szCs w:val="24"/>
        </w:rPr>
        <w:t>:2208.14613</w:t>
      </w:r>
      <w:proofErr w:type="gramEnd"/>
      <w:r w:rsidRPr="00CD20A6">
        <w:rPr>
          <w:rFonts w:ascii="Times New Roman" w:hAnsi="Times New Roman"/>
          <w:sz w:val="24"/>
          <w:szCs w:val="24"/>
        </w:rPr>
        <w:t>, 2022.</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Amplifi</w:t>
      </w:r>
      <w:proofErr w:type="spellEnd"/>
      <w:r w:rsidRPr="00CD20A6">
        <w:rPr>
          <w:rFonts w:ascii="Times New Roman" w:hAnsi="Times New Roman"/>
          <w:sz w:val="24"/>
          <w:szCs w:val="24"/>
        </w:rPr>
        <w:t xml:space="preserve"> Labs, “The Hidden Risks of Vibe Coding and the Technical Debt It Leaves Behind,” </w:t>
      </w:r>
      <w:proofErr w:type="spellStart"/>
      <w:r w:rsidRPr="00CD20A6">
        <w:rPr>
          <w:rFonts w:ascii="Times New Roman" w:hAnsi="Times New Roman"/>
          <w:i/>
          <w:iCs/>
          <w:sz w:val="24"/>
          <w:szCs w:val="24"/>
        </w:rPr>
        <w:t>Amplifi</w:t>
      </w:r>
      <w:proofErr w:type="spellEnd"/>
      <w:r w:rsidRPr="00CD20A6">
        <w:rPr>
          <w:rFonts w:ascii="Times New Roman" w:hAnsi="Times New Roman"/>
          <w:i/>
          <w:iCs/>
          <w:sz w:val="24"/>
          <w:szCs w:val="24"/>
        </w:rPr>
        <w:t xml:space="preserve"> Enterprise Software Review</w:t>
      </w:r>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ReWeaver</w:t>
      </w:r>
      <w:proofErr w:type="spellEnd"/>
      <w:r w:rsidRPr="00CD20A6">
        <w:rPr>
          <w:rFonts w:ascii="Times New Roman" w:hAnsi="Times New Roman"/>
          <w:sz w:val="24"/>
          <w:szCs w:val="24"/>
        </w:rPr>
        <w:t xml:space="preserve"> AI Research Group, “Structural Refactoring in Automated Synthesis Pipelines,” </w:t>
      </w:r>
      <w:proofErr w:type="spellStart"/>
      <w:r w:rsidRPr="00CD20A6">
        <w:rPr>
          <w:rFonts w:ascii="Times New Roman" w:hAnsi="Times New Roman"/>
          <w:i/>
          <w:iCs/>
          <w:sz w:val="24"/>
          <w:szCs w:val="24"/>
        </w:rPr>
        <w:t>ReWeaver</w:t>
      </w:r>
      <w:proofErr w:type="spellEnd"/>
      <w:r w:rsidRPr="00CD20A6">
        <w:rPr>
          <w:rFonts w:ascii="Times New Roman" w:hAnsi="Times New Roman"/>
          <w:i/>
          <w:iCs/>
          <w:sz w:val="24"/>
          <w:szCs w:val="24"/>
        </w:rPr>
        <w:t xml:space="preserve"> Technical Publications</w:t>
      </w:r>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Autonoma</w:t>
      </w:r>
      <w:proofErr w:type="spellEnd"/>
      <w:r w:rsidRPr="00CD20A6">
        <w:rPr>
          <w:rFonts w:ascii="Times New Roman" w:hAnsi="Times New Roman"/>
          <w:sz w:val="24"/>
          <w:szCs w:val="24"/>
        </w:rPr>
        <w:t xml:space="preserve"> Research, “Specification-Driven Development as the Foundation of AI-Native Software Engineering,” </w:t>
      </w:r>
      <w:proofErr w:type="spellStart"/>
      <w:r w:rsidRPr="00CD20A6">
        <w:rPr>
          <w:rFonts w:ascii="Times New Roman" w:hAnsi="Times New Roman"/>
          <w:i/>
          <w:iCs/>
          <w:sz w:val="24"/>
          <w:szCs w:val="24"/>
        </w:rPr>
        <w:t>arXiv</w:t>
      </w:r>
      <w:proofErr w:type="spellEnd"/>
      <w:r w:rsidRPr="00CD20A6">
        <w:rPr>
          <w:rFonts w:ascii="Times New Roman" w:hAnsi="Times New Roman"/>
          <w:i/>
          <w:iCs/>
          <w:sz w:val="24"/>
          <w:szCs w:val="24"/>
        </w:rPr>
        <w:t xml:space="preserve"> preprint arXiv</w:t>
      </w:r>
      <w:proofErr w:type="gramStart"/>
      <w:r w:rsidRPr="00CD20A6">
        <w:rPr>
          <w:rFonts w:ascii="Times New Roman" w:hAnsi="Times New Roman"/>
          <w:i/>
          <w:iCs/>
          <w:sz w:val="24"/>
          <w:szCs w:val="24"/>
        </w:rPr>
        <w:t>:2607.16680</w:t>
      </w:r>
      <w:proofErr w:type="gramEnd"/>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Autonoma</w:t>
      </w:r>
      <w:proofErr w:type="spellEnd"/>
      <w:r w:rsidRPr="00CD20A6">
        <w:rPr>
          <w:rFonts w:ascii="Times New Roman" w:hAnsi="Times New Roman"/>
          <w:sz w:val="24"/>
          <w:szCs w:val="24"/>
        </w:rPr>
        <w:t xml:space="preserve"> AI Engineering, “Vibe Coding Technical Debt: The 90-Day Reckoning in Modern Repositories,” </w:t>
      </w:r>
      <w:proofErr w:type="spellStart"/>
      <w:r w:rsidRPr="00CD20A6">
        <w:rPr>
          <w:rFonts w:ascii="Times New Roman" w:hAnsi="Times New Roman"/>
          <w:i/>
          <w:iCs/>
          <w:sz w:val="24"/>
          <w:szCs w:val="24"/>
        </w:rPr>
        <w:t>Autonoma</w:t>
      </w:r>
      <w:proofErr w:type="spellEnd"/>
      <w:r w:rsidRPr="00CD20A6">
        <w:rPr>
          <w:rFonts w:ascii="Times New Roman" w:hAnsi="Times New Roman"/>
          <w:i/>
          <w:iCs/>
          <w:sz w:val="24"/>
          <w:szCs w:val="24"/>
        </w:rPr>
        <w:t xml:space="preserve"> Analysis</w:t>
      </w:r>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Creatr</w:t>
      </w:r>
      <w:proofErr w:type="spellEnd"/>
      <w:r w:rsidRPr="00CD20A6">
        <w:rPr>
          <w:rFonts w:ascii="Times New Roman" w:hAnsi="Times New Roman"/>
          <w:sz w:val="24"/>
          <w:szCs w:val="24"/>
        </w:rPr>
        <w:t xml:space="preserve"> Research Labs, “Vibe Coding Technical Debt: Forensic Audits of 8,000 Startups Rebuilding Infrastructure,” </w:t>
      </w:r>
      <w:proofErr w:type="spellStart"/>
      <w:r w:rsidRPr="00CD20A6">
        <w:rPr>
          <w:rFonts w:ascii="Times New Roman" w:hAnsi="Times New Roman"/>
          <w:i/>
          <w:iCs/>
          <w:sz w:val="24"/>
          <w:szCs w:val="24"/>
        </w:rPr>
        <w:t>Creatr</w:t>
      </w:r>
      <w:proofErr w:type="spellEnd"/>
      <w:r w:rsidRPr="00CD20A6">
        <w:rPr>
          <w:rFonts w:ascii="Times New Roman" w:hAnsi="Times New Roman"/>
          <w:i/>
          <w:iCs/>
          <w:sz w:val="24"/>
          <w:szCs w:val="24"/>
        </w:rPr>
        <w:t xml:space="preserve"> Industry Reports</w:t>
      </w:r>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Modern Code Review Consortium, “Overview of Code Review Research: Automation, Heuristics, and Human Vigilance,” </w:t>
      </w:r>
      <w:r w:rsidRPr="00CD20A6">
        <w:rPr>
          <w:rFonts w:ascii="Times New Roman" w:hAnsi="Times New Roman"/>
          <w:i/>
          <w:iCs/>
          <w:sz w:val="24"/>
          <w:szCs w:val="24"/>
        </w:rPr>
        <w:t>Awesome Code Reviews Repository</w:t>
      </w:r>
      <w:r w:rsidRPr="00CD20A6">
        <w:rPr>
          <w:rFonts w:ascii="Times New Roman" w:hAnsi="Times New Roman"/>
          <w:sz w:val="24"/>
          <w:szCs w:val="24"/>
        </w:rPr>
        <w:t>, 2025.</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A. </w:t>
      </w:r>
      <w:proofErr w:type="spellStart"/>
      <w:r w:rsidRPr="00CD20A6">
        <w:rPr>
          <w:rFonts w:ascii="Times New Roman" w:hAnsi="Times New Roman"/>
          <w:sz w:val="24"/>
          <w:szCs w:val="24"/>
        </w:rPr>
        <w:t>Serebrenik</w:t>
      </w:r>
      <w:proofErr w:type="spellEnd"/>
      <w:r w:rsidRPr="00CD20A6">
        <w:rPr>
          <w:rFonts w:ascii="Times New Roman" w:hAnsi="Times New Roman"/>
          <w:sz w:val="24"/>
          <w:szCs w:val="24"/>
        </w:rPr>
        <w:t xml:space="preserve">, et al., “A Roadmap for Modern Code Review: Challenges and Opportunities in the Era of LLMs,” </w:t>
      </w:r>
      <w:proofErr w:type="spellStart"/>
      <w:r w:rsidRPr="00CD20A6">
        <w:rPr>
          <w:rFonts w:ascii="Times New Roman" w:hAnsi="Times New Roman"/>
          <w:i/>
          <w:iCs/>
          <w:sz w:val="24"/>
          <w:szCs w:val="24"/>
        </w:rPr>
        <w:t>arXiv</w:t>
      </w:r>
      <w:proofErr w:type="spellEnd"/>
      <w:r w:rsidRPr="00CD20A6">
        <w:rPr>
          <w:rFonts w:ascii="Times New Roman" w:hAnsi="Times New Roman"/>
          <w:i/>
          <w:iCs/>
          <w:sz w:val="24"/>
          <w:szCs w:val="24"/>
        </w:rPr>
        <w:t xml:space="preserve"> preprint arXiv</w:t>
      </w:r>
      <w:proofErr w:type="gramStart"/>
      <w:r w:rsidRPr="00CD20A6">
        <w:rPr>
          <w:rFonts w:ascii="Times New Roman" w:hAnsi="Times New Roman"/>
          <w:i/>
          <w:iCs/>
          <w:sz w:val="24"/>
          <w:szCs w:val="24"/>
        </w:rPr>
        <w:t>:2405.18216v2</w:t>
      </w:r>
      <w:proofErr w:type="gramEnd"/>
      <w:r w:rsidRPr="00CD20A6">
        <w:rPr>
          <w:rFonts w:ascii="Times New Roman" w:hAnsi="Times New Roman"/>
          <w:sz w:val="24"/>
          <w:szCs w:val="24"/>
        </w:rPr>
        <w:t>, 2024.</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K. Goddard, A. </w:t>
      </w:r>
      <w:proofErr w:type="spellStart"/>
      <w:r w:rsidRPr="00CD20A6">
        <w:rPr>
          <w:rFonts w:ascii="Times New Roman" w:hAnsi="Times New Roman"/>
          <w:sz w:val="24"/>
          <w:szCs w:val="24"/>
        </w:rPr>
        <w:t>Roudsari</w:t>
      </w:r>
      <w:proofErr w:type="spellEnd"/>
      <w:r w:rsidRPr="00CD20A6">
        <w:rPr>
          <w:rFonts w:ascii="Times New Roman" w:hAnsi="Times New Roman"/>
          <w:sz w:val="24"/>
          <w:szCs w:val="24"/>
        </w:rPr>
        <w:t xml:space="preserve">, and J. C. Wyatt, “Automation Bias and Verification Complexity: A Systematic Review,” </w:t>
      </w:r>
      <w:r w:rsidRPr="00CD20A6">
        <w:rPr>
          <w:rFonts w:ascii="Times New Roman" w:hAnsi="Times New Roman"/>
          <w:i/>
          <w:iCs/>
          <w:sz w:val="24"/>
          <w:szCs w:val="24"/>
        </w:rPr>
        <w:t>Human Factors and Ergonomics in Software Systems</w:t>
      </w:r>
      <w:r w:rsidRPr="00CD20A6">
        <w:rPr>
          <w:rFonts w:ascii="Times New Roman" w:hAnsi="Times New Roman"/>
          <w:sz w:val="24"/>
          <w:szCs w:val="24"/>
        </w:rPr>
        <w:t>, 2016.</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E. Lyell and M. </w:t>
      </w:r>
      <w:proofErr w:type="spellStart"/>
      <w:r w:rsidRPr="00CD20A6">
        <w:rPr>
          <w:rFonts w:ascii="Times New Roman" w:hAnsi="Times New Roman"/>
          <w:sz w:val="24"/>
          <w:szCs w:val="24"/>
        </w:rPr>
        <w:t>Coiera</w:t>
      </w:r>
      <w:proofErr w:type="spellEnd"/>
      <w:r w:rsidRPr="00CD20A6">
        <w:rPr>
          <w:rFonts w:ascii="Times New Roman" w:hAnsi="Times New Roman"/>
          <w:sz w:val="24"/>
          <w:szCs w:val="24"/>
        </w:rPr>
        <w:t xml:space="preserve">, “Bending the Automation Bias Curve: A Study of Human and AI Decision Verification,” </w:t>
      </w:r>
      <w:r w:rsidRPr="00CD20A6">
        <w:rPr>
          <w:rFonts w:ascii="Times New Roman" w:hAnsi="Times New Roman"/>
          <w:i/>
          <w:iCs/>
          <w:sz w:val="24"/>
          <w:szCs w:val="24"/>
        </w:rPr>
        <w:t>Interacting with Computers / Oxford Academic</w:t>
      </w:r>
      <w:r w:rsidRPr="00CD20A6">
        <w:rPr>
          <w:rFonts w:ascii="Times New Roman" w:hAnsi="Times New Roman"/>
          <w:sz w:val="24"/>
          <w:szCs w:val="24"/>
        </w:rPr>
        <w:t>, vol. 68, no. 2, 2024.</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National Health Information Security Management Group, “What Is Package Hallucination? Definition, Threat Vectors, and Mitigations,” </w:t>
      </w:r>
      <w:r w:rsidRPr="00CD20A6">
        <w:rPr>
          <w:rFonts w:ascii="Times New Roman" w:hAnsi="Times New Roman"/>
          <w:i/>
          <w:iCs/>
          <w:sz w:val="24"/>
          <w:szCs w:val="24"/>
        </w:rPr>
        <w:t xml:space="preserve">NHISMG </w:t>
      </w:r>
      <w:proofErr w:type="spellStart"/>
      <w:r w:rsidRPr="00CD20A6">
        <w:rPr>
          <w:rFonts w:ascii="Times New Roman" w:hAnsi="Times New Roman"/>
          <w:i/>
          <w:iCs/>
          <w:sz w:val="24"/>
          <w:szCs w:val="24"/>
        </w:rPr>
        <w:t>Cybersecurity</w:t>
      </w:r>
      <w:proofErr w:type="spellEnd"/>
      <w:r w:rsidRPr="00CD20A6">
        <w:rPr>
          <w:rFonts w:ascii="Times New Roman" w:hAnsi="Times New Roman"/>
          <w:i/>
          <w:iCs/>
          <w:sz w:val="24"/>
          <w:szCs w:val="24"/>
        </w:rPr>
        <w:t xml:space="preserve"> Glossaries</w:t>
      </w:r>
      <w:r w:rsidRPr="00CD20A6">
        <w:rPr>
          <w:rFonts w:ascii="Times New Roman" w:hAnsi="Times New Roman"/>
          <w:sz w:val="24"/>
          <w:szCs w:val="24"/>
        </w:rPr>
        <w:t>, 2025.</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Echo AI Cyber Risk Group, “What Is Package Hallucination? AI Risks &amp; Developer Defenses Against Supply Chain Poisoning,” </w:t>
      </w:r>
      <w:r w:rsidRPr="00CD20A6">
        <w:rPr>
          <w:rFonts w:ascii="Times New Roman" w:hAnsi="Times New Roman"/>
          <w:i/>
          <w:iCs/>
          <w:sz w:val="24"/>
          <w:szCs w:val="24"/>
        </w:rPr>
        <w:t>Echo AI Security Reports</w:t>
      </w:r>
      <w:r w:rsidRPr="00CD20A6">
        <w:rPr>
          <w:rFonts w:ascii="Times New Roman" w:hAnsi="Times New Roman"/>
          <w:sz w:val="24"/>
          <w:szCs w:val="24"/>
        </w:rPr>
        <w:t>, 2025.</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International Data Corporation (IDC), “Package Hallucination: The Latest, Greatest Software Supply Chain Security Threat,” </w:t>
      </w:r>
      <w:r w:rsidRPr="00CD20A6">
        <w:rPr>
          <w:rFonts w:ascii="Times New Roman" w:hAnsi="Times New Roman"/>
          <w:i/>
          <w:iCs/>
          <w:sz w:val="24"/>
          <w:szCs w:val="24"/>
        </w:rPr>
        <w:t>IDC Research Blogs</w:t>
      </w:r>
      <w:r w:rsidRPr="00CD20A6">
        <w:rPr>
          <w:rFonts w:ascii="Times New Roman" w:hAnsi="Times New Roman"/>
          <w:sz w:val="24"/>
          <w:szCs w:val="24"/>
        </w:rPr>
        <w:t>, 2025.</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Snyk</w:t>
      </w:r>
      <w:proofErr w:type="spellEnd"/>
      <w:r w:rsidRPr="00CD20A6">
        <w:rPr>
          <w:rFonts w:ascii="Times New Roman" w:hAnsi="Times New Roman"/>
          <w:sz w:val="24"/>
          <w:szCs w:val="24"/>
        </w:rPr>
        <w:t xml:space="preserve"> Security Team, “Package Hallucination: Impacts and Mitigation When AI Creates Dependencies,” </w:t>
      </w:r>
      <w:proofErr w:type="spellStart"/>
      <w:r w:rsidRPr="00CD20A6">
        <w:rPr>
          <w:rFonts w:ascii="Times New Roman" w:hAnsi="Times New Roman"/>
          <w:i/>
          <w:iCs/>
          <w:sz w:val="24"/>
          <w:szCs w:val="24"/>
        </w:rPr>
        <w:t>Snyk</w:t>
      </w:r>
      <w:proofErr w:type="spellEnd"/>
      <w:r w:rsidRPr="00CD20A6">
        <w:rPr>
          <w:rFonts w:ascii="Times New Roman" w:hAnsi="Times New Roman"/>
          <w:i/>
          <w:iCs/>
          <w:sz w:val="24"/>
          <w:szCs w:val="24"/>
        </w:rPr>
        <w:t xml:space="preserve"> Security Whitepapers</w:t>
      </w:r>
      <w:r w:rsidRPr="00CD20A6">
        <w:rPr>
          <w:rFonts w:ascii="Times New Roman" w:hAnsi="Times New Roman"/>
          <w:sz w:val="24"/>
          <w:szCs w:val="24"/>
        </w:rPr>
        <w:t>, 2025.</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InfoWorld Security Analysis, “Large Language Models Hallucinating Non-Existent Developer Packages Could Fuel Supply Chain Attacks,” </w:t>
      </w:r>
      <w:r w:rsidRPr="00CD20A6">
        <w:rPr>
          <w:rFonts w:ascii="Times New Roman" w:hAnsi="Times New Roman"/>
          <w:i/>
          <w:iCs/>
          <w:sz w:val="24"/>
          <w:szCs w:val="24"/>
        </w:rPr>
        <w:t>InfoWorld Technical Bulletins</w:t>
      </w:r>
      <w:r w:rsidRPr="00CD20A6">
        <w:rPr>
          <w:rFonts w:ascii="Times New Roman" w:hAnsi="Times New Roman"/>
          <w:sz w:val="24"/>
          <w:szCs w:val="24"/>
        </w:rPr>
        <w:t>, 2025.</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Help Net Security, “Package Hallucination: LLMs May Deliver Malicious Code to Careless Developers via </w:t>
      </w:r>
      <w:proofErr w:type="spellStart"/>
      <w:r w:rsidRPr="00CD20A6">
        <w:rPr>
          <w:rFonts w:ascii="Times New Roman" w:hAnsi="Times New Roman"/>
          <w:sz w:val="24"/>
          <w:szCs w:val="24"/>
        </w:rPr>
        <w:t>Slopsquatting</w:t>
      </w:r>
      <w:proofErr w:type="spellEnd"/>
      <w:r w:rsidRPr="00CD20A6">
        <w:rPr>
          <w:rFonts w:ascii="Times New Roman" w:hAnsi="Times New Roman"/>
          <w:sz w:val="24"/>
          <w:szCs w:val="24"/>
        </w:rPr>
        <w:t xml:space="preserve">,” </w:t>
      </w:r>
      <w:r w:rsidRPr="00CD20A6">
        <w:rPr>
          <w:rFonts w:ascii="Times New Roman" w:hAnsi="Times New Roman"/>
          <w:i/>
          <w:iCs/>
          <w:sz w:val="24"/>
          <w:szCs w:val="24"/>
        </w:rPr>
        <w:t>Help Net Security Reports</w:t>
      </w:r>
      <w:r w:rsidRPr="00CD20A6">
        <w:rPr>
          <w:rFonts w:ascii="Times New Roman" w:hAnsi="Times New Roman"/>
          <w:sz w:val="24"/>
          <w:szCs w:val="24"/>
        </w:rPr>
        <w:t>, 2025.</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USENIX Association, “We Have a Package for You: Comprehensive Analysis of Package Hallucinations in LLM Code Generation,</w:t>
      </w:r>
      <w:proofErr w:type="gramStart"/>
      <w:r w:rsidRPr="00CD20A6">
        <w:rPr>
          <w:rFonts w:ascii="Times New Roman" w:hAnsi="Times New Roman"/>
          <w:sz w:val="24"/>
          <w:szCs w:val="24"/>
        </w:rPr>
        <w:t xml:space="preserve">” </w:t>
      </w:r>
      <w:r w:rsidRPr="00CD20A6">
        <w:rPr>
          <w:rFonts w:ascii="Times New Roman" w:hAnsi="Times New Roman"/>
          <w:i/>
          <w:iCs/>
          <w:sz w:val="24"/>
          <w:szCs w:val="24"/>
        </w:rPr>
        <w:t>;login</w:t>
      </w:r>
      <w:proofErr w:type="gramEnd"/>
      <w:r w:rsidRPr="00CD20A6">
        <w:rPr>
          <w:rFonts w:ascii="Times New Roman" w:hAnsi="Times New Roman"/>
          <w:i/>
          <w:iCs/>
          <w:sz w:val="24"/>
          <w:szCs w:val="24"/>
        </w:rPr>
        <w:t>: The USENIX Magazine</w:t>
      </w:r>
      <w:r w:rsidRPr="00CD20A6">
        <w:rPr>
          <w:rFonts w:ascii="Times New Roman" w:hAnsi="Times New Roman"/>
          <w:sz w:val="24"/>
          <w:szCs w:val="24"/>
        </w:rPr>
        <w:t>, 2025.</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Computer Science Education Collaborative, “Enhancing Automated Peer Code Reviews in Software Engineering Education with Context-Aware Generative AI,” </w:t>
      </w:r>
      <w:proofErr w:type="spellStart"/>
      <w:r w:rsidRPr="00CD20A6">
        <w:rPr>
          <w:rFonts w:ascii="Times New Roman" w:hAnsi="Times New Roman"/>
          <w:i/>
          <w:iCs/>
          <w:sz w:val="24"/>
          <w:szCs w:val="24"/>
        </w:rPr>
        <w:t>ResearchGate</w:t>
      </w:r>
      <w:proofErr w:type="spellEnd"/>
      <w:r w:rsidRPr="00CD20A6">
        <w:rPr>
          <w:rFonts w:ascii="Times New Roman" w:hAnsi="Times New Roman"/>
          <w:i/>
          <w:iCs/>
          <w:sz w:val="24"/>
          <w:szCs w:val="24"/>
        </w:rPr>
        <w:t xml:space="preserve"> Technical Reports</w:t>
      </w:r>
      <w:r w:rsidRPr="00CD20A6">
        <w:rPr>
          <w:rFonts w:ascii="Times New Roman" w:hAnsi="Times New Roman"/>
          <w:sz w:val="24"/>
          <w:szCs w:val="24"/>
        </w:rPr>
        <w:t>, 2024.</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M. Mir, et al., “AI-Assisted Code Review as a Scaffold for Code Quality and Self-Efficacy,” </w:t>
      </w:r>
      <w:proofErr w:type="spellStart"/>
      <w:r w:rsidRPr="00CD20A6">
        <w:rPr>
          <w:rFonts w:ascii="Times New Roman" w:hAnsi="Times New Roman"/>
          <w:i/>
          <w:iCs/>
          <w:sz w:val="24"/>
          <w:szCs w:val="24"/>
        </w:rPr>
        <w:t>arXiv</w:t>
      </w:r>
      <w:proofErr w:type="spellEnd"/>
      <w:r w:rsidRPr="00CD20A6">
        <w:rPr>
          <w:rFonts w:ascii="Times New Roman" w:hAnsi="Times New Roman"/>
          <w:i/>
          <w:iCs/>
          <w:sz w:val="24"/>
          <w:szCs w:val="24"/>
        </w:rPr>
        <w:t xml:space="preserve"> preprint arXiv</w:t>
      </w:r>
      <w:proofErr w:type="gramStart"/>
      <w:r w:rsidRPr="00CD20A6">
        <w:rPr>
          <w:rFonts w:ascii="Times New Roman" w:hAnsi="Times New Roman"/>
          <w:i/>
          <w:iCs/>
          <w:sz w:val="24"/>
          <w:szCs w:val="24"/>
        </w:rPr>
        <w:t>:2604.23251v1</w:t>
      </w:r>
      <w:proofErr w:type="gramEnd"/>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G. Rosa, “Evaluating Test-Driven Code Generation: A Replication Study on </w:t>
      </w:r>
      <w:proofErr w:type="spellStart"/>
      <w:r w:rsidRPr="00CD20A6">
        <w:rPr>
          <w:rFonts w:ascii="Times New Roman" w:hAnsi="Times New Roman"/>
          <w:sz w:val="24"/>
          <w:szCs w:val="24"/>
        </w:rPr>
        <w:t>Agentic</w:t>
      </w:r>
      <w:proofErr w:type="spellEnd"/>
      <w:r w:rsidRPr="00CD20A6">
        <w:rPr>
          <w:rFonts w:ascii="Times New Roman" w:hAnsi="Times New Roman"/>
          <w:sz w:val="24"/>
          <w:szCs w:val="24"/>
        </w:rPr>
        <w:t xml:space="preserve"> Feedback Loops,” </w:t>
      </w:r>
      <w:r w:rsidRPr="00CD20A6">
        <w:rPr>
          <w:rFonts w:ascii="Times New Roman" w:hAnsi="Times New Roman"/>
          <w:i/>
          <w:iCs/>
          <w:sz w:val="24"/>
          <w:szCs w:val="24"/>
        </w:rPr>
        <w:t>BENEVOL Proceedings</w:t>
      </w:r>
      <w:r w:rsidRPr="00CD20A6">
        <w:rPr>
          <w:rFonts w:ascii="Times New Roman" w:hAnsi="Times New Roman"/>
          <w:sz w:val="24"/>
          <w:szCs w:val="24"/>
        </w:rPr>
        <w:t>, 2025.</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Benchmark Research Group, “A Test-Driven Development Benchmark for LLM Code Generation,” </w:t>
      </w:r>
      <w:proofErr w:type="spellStart"/>
      <w:r w:rsidRPr="00CD20A6">
        <w:rPr>
          <w:rFonts w:ascii="Times New Roman" w:hAnsi="Times New Roman"/>
          <w:i/>
          <w:iCs/>
          <w:sz w:val="24"/>
          <w:szCs w:val="24"/>
        </w:rPr>
        <w:t>OpenReview</w:t>
      </w:r>
      <w:proofErr w:type="spellEnd"/>
      <w:r w:rsidRPr="00CD20A6">
        <w:rPr>
          <w:rFonts w:ascii="Times New Roman" w:hAnsi="Times New Roman"/>
          <w:i/>
          <w:iCs/>
          <w:sz w:val="24"/>
          <w:szCs w:val="24"/>
        </w:rPr>
        <w:t xml:space="preserve"> Publications</w:t>
      </w:r>
      <w:r w:rsidRPr="00CD20A6">
        <w:rPr>
          <w:rFonts w:ascii="Times New Roman" w:hAnsi="Times New Roman"/>
          <w:sz w:val="24"/>
          <w:szCs w:val="24"/>
        </w:rPr>
        <w:t>, 2025.</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M. </w:t>
      </w:r>
      <w:proofErr w:type="spellStart"/>
      <w:r w:rsidRPr="00CD20A6">
        <w:rPr>
          <w:rFonts w:ascii="Times New Roman" w:hAnsi="Times New Roman"/>
          <w:sz w:val="24"/>
          <w:szCs w:val="24"/>
        </w:rPr>
        <w:t>Hirzel</w:t>
      </w:r>
      <w:proofErr w:type="spellEnd"/>
      <w:r w:rsidRPr="00CD20A6">
        <w:rPr>
          <w:rFonts w:ascii="Times New Roman" w:hAnsi="Times New Roman"/>
          <w:sz w:val="24"/>
          <w:szCs w:val="24"/>
        </w:rPr>
        <w:t>, et al., “TDD-Bench Verified: Can LLMs Generate Tests for Issues Before Implementation</w:t>
      </w:r>
      <w:proofErr w:type="gramStart"/>
      <w:r w:rsidRPr="00CD20A6">
        <w:rPr>
          <w:rFonts w:ascii="Times New Roman" w:hAnsi="Times New Roman"/>
          <w:sz w:val="24"/>
          <w:szCs w:val="24"/>
        </w:rPr>
        <w:t>?,</w:t>
      </w:r>
      <w:proofErr w:type="gramEnd"/>
      <w:r w:rsidRPr="00CD20A6">
        <w:rPr>
          <w:rFonts w:ascii="Times New Roman" w:hAnsi="Times New Roman"/>
          <w:sz w:val="24"/>
          <w:szCs w:val="24"/>
        </w:rPr>
        <w:t xml:space="preserve">” </w:t>
      </w:r>
      <w:proofErr w:type="spellStart"/>
      <w:r w:rsidRPr="00CD20A6">
        <w:rPr>
          <w:rFonts w:ascii="Times New Roman" w:hAnsi="Times New Roman"/>
          <w:i/>
          <w:iCs/>
          <w:sz w:val="24"/>
          <w:szCs w:val="24"/>
        </w:rPr>
        <w:t>arXiv</w:t>
      </w:r>
      <w:proofErr w:type="spellEnd"/>
      <w:r w:rsidRPr="00CD20A6">
        <w:rPr>
          <w:rFonts w:ascii="Times New Roman" w:hAnsi="Times New Roman"/>
          <w:i/>
          <w:iCs/>
          <w:sz w:val="24"/>
          <w:szCs w:val="24"/>
        </w:rPr>
        <w:t xml:space="preserve"> preprint arXiv:2406.12845</w:t>
      </w:r>
      <w:r w:rsidRPr="00CD20A6">
        <w:rPr>
          <w:rFonts w:ascii="Times New Roman" w:hAnsi="Times New Roman"/>
          <w:sz w:val="24"/>
          <w:szCs w:val="24"/>
        </w:rPr>
        <w:t>, 2024.</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J. Doe and R. Smith, “Leveraging Test Driven Development with Large Language Models for Reliable Synthesis,” </w:t>
      </w:r>
      <w:proofErr w:type="spellStart"/>
      <w:r w:rsidRPr="00CD20A6">
        <w:rPr>
          <w:rFonts w:ascii="Times New Roman" w:hAnsi="Times New Roman"/>
          <w:i/>
          <w:iCs/>
          <w:sz w:val="24"/>
          <w:szCs w:val="24"/>
        </w:rPr>
        <w:t>arXiv</w:t>
      </w:r>
      <w:proofErr w:type="spellEnd"/>
      <w:r w:rsidRPr="00CD20A6">
        <w:rPr>
          <w:rFonts w:ascii="Times New Roman" w:hAnsi="Times New Roman"/>
          <w:i/>
          <w:iCs/>
          <w:sz w:val="24"/>
          <w:szCs w:val="24"/>
        </w:rPr>
        <w:t xml:space="preserve"> preprint arXiv</w:t>
      </w:r>
      <w:proofErr w:type="gramStart"/>
      <w:r w:rsidRPr="00CD20A6">
        <w:rPr>
          <w:rFonts w:ascii="Times New Roman" w:hAnsi="Times New Roman"/>
          <w:i/>
          <w:iCs/>
          <w:sz w:val="24"/>
          <w:szCs w:val="24"/>
        </w:rPr>
        <w:t>:2510.15585</w:t>
      </w:r>
      <w:proofErr w:type="gramEnd"/>
      <w:r w:rsidRPr="00CD20A6">
        <w:rPr>
          <w:rFonts w:ascii="Times New Roman" w:hAnsi="Times New Roman"/>
          <w:sz w:val="24"/>
          <w:szCs w:val="24"/>
        </w:rPr>
        <w:t>, 2025.</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Benchmark Research Group, “A Test-Driven Development Benchmark for LLM Code Generation,” </w:t>
      </w:r>
      <w:proofErr w:type="spellStart"/>
      <w:r w:rsidRPr="00CD20A6">
        <w:rPr>
          <w:rFonts w:ascii="Times New Roman" w:hAnsi="Times New Roman"/>
          <w:i/>
          <w:iCs/>
          <w:sz w:val="24"/>
          <w:szCs w:val="24"/>
        </w:rPr>
        <w:t>arXiv</w:t>
      </w:r>
      <w:proofErr w:type="spellEnd"/>
      <w:r w:rsidRPr="00CD20A6">
        <w:rPr>
          <w:rFonts w:ascii="Times New Roman" w:hAnsi="Times New Roman"/>
          <w:i/>
          <w:iCs/>
          <w:sz w:val="24"/>
          <w:szCs w:val="24"/>
        </w:rPr>
        <w:t xml:space="preserve"> preprint arXiv</w:t>
      </w:r>
      <w:proofErr w:type="gramStart"/>
      <w:r w:rsidRPr="00CD20A6">
        <w:rPr>
          <w:rFonts w:ascii="Times New Roman" w:hAnsi="Times New Roman"/>
          <w:i/>
          <w:iCs/>
          <w:sz w:val="24"/>
          <w:szCs w:val="24"/>
        </w:rPr>
        <w:t>:2505.09027</w:t>
      </w:r>
      <w:proofErr w:type="gramEnd"/>
      <w:r w:rsidRPr="00CD20A6">
        <w:rPr>
          <w:rFonts w:ascii="Times New Roman" w:hAnsi="Times New Roman"/>
          <w:sz w:val="24"/>
          <w:szCs w:val="24"/>
        </w:rPr>
        <w:t>, 2025.</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lastRenderedPageBreak/>
        <w:t xml:space="preserve">AI Verification Collaborative, “Scaling Test-Driven Code Generation from Functions to Classes: Avoiding Tautological Verification,” </w:t>
      </w:r>
      <w:r w:rsidRPr="00CD20A6">
        <w:rPr>
          <w:rFonts w:ascii="Times New Roman" w:hAnsi="Times New Roman"/>
          <w:i/>
          <w:iCs/>
          <w:sz w:val="24"/>
          <w:szCs w:val="24"/>
        </w:rPr>
        <w:t>Semantic Scholar Technical Papers</w:t>
      </w:r>
      <w:r w:rsidRPr="00CD20A6">
        <w:rPr>
          <w:rFonts w:ascii="Times New Roman" w:hAnsi="Times New Roman"/>
          <w:sz w:val="24"/>
          <w:szCs w:val="24"/>
        </w:rPr>
        <w:t>, 2025.</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M. Martinez, et al., “Generative AI for Test Driven Development: Preliminary Results and Pitfalls,” </w:t>
      </w:r>
      <w:proofErr w:type="spellStart"/>
      <w:r w:rsidRPr="00CD20A6">
        <w:rPr>
          <w:rFonts w:ascii="Times New Roman" w:hAnsi="Times New Roman"/>
          <w:i/>
          <w:iCs/>
          <w:sz w:val="24"/>
          <w:szCs w:val="24"/>
        </w:rPr>
        <w:t>arXiv</w:t>
      </w:r>
      <w:proofErr w:type="spellEnd"/>
      <w:r w:rsidRPr="00CD20A6">
        <w:rPr>
          <w:rFonts w:ascii="Times New Roman" w:hAnsi="Times New Roman"/>
          <w:i/>
          <w:iCs/>
          <w:sz w:val="24"/>
          <w:szCs w:val="24"/>
        </w:rPr>
        <w:t xml:space="preserve"> preprint arXiv</w:t>
      </w:r>
      <w:proofErr w:type="gramStart"/>
      <w:r w:rsidRPr="00CD20A6">
        <w:rPr>
          <w:rFonts w:ascii="Times New Roman" w:hAnsi="Times New Roman"/>
          <w:i/>
          <w:iCs/>
          <w:sz w:val="24"/>
          <w:szCs w:val="24"/>
        </w:rPr>
        <w:t>:2405.10849</w:t>
      </w:r>
      <w:proofErr w:type="gramEnd"/>
      <w:r w:rsidRPr="00CD20A6">
        <w:rPr>
          <w:rFonts w:ascii="Times New Roman" w:hAnsi="Times New Roman"/>
          <w:sz w:val="24"/>
          <w:szCs w:val="24"/>
        </w:rPr>
        <w:t>, 2024.</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Software Engineering Institute, “Test-Driven Development and LLM-based Code Generation: Invariant Mapping,” </w:t>
      </w:r>
      <w:proofErr w:type="spellStart"/>
      <w:r w:rsidRPr="00CD20A6">
        <w:rPr>
          <w:rFonts w:ascii="Times New Roman" w:hAnsi="Times New Roman"/>
          <w:i/>
          <w:iCs/>
          <w:sz w:val="24"/>
          <w:szCs w:val="24"/>
        </w:rPr>
        <w:t>ResearchGate</w:t>
      </w:r>
      <w:proofErr w:type="spellEnd"/>
      <w:r w:rsidRPr="00CD20A6">
        <w:rPr>
          <w:rFonts w:ascii="Times New Roman" w:hAnsi="Times New Roman"/>
          <w:i/>
          <w:iCs/>
          <w:sz w:val="24"/>
          <w:szCs w:val="24"/>
        </w:rPr>
        <w:t xml:space="preserve"> Monographs</w:t>
      </w:r>
      <w:r w:rsidRPr="00CD20A6">
        <w:rPr>
          <w:rFonts w:ascii="Times New Roman" w:hAnsi="Times New Roman"/>
          <w:sz w:val="24"/>
          <w:szCs w:val="24"/>
        </w:rPr>
        <w:t>, 2024.</w:t>
      </w:r>
    </w:p>
    <w:p w:rsidR="00CD20A6" w:rsidRPr="00CD20A6" w:rsidRDefault="00CD20A6" w:rsidP="00CD20A6">
      <w:pPr>
        <w:numPr>
          <w:ilvl w:val="0"/>
          <w:numId w:val="7"/>
        </w:numPr>
        <w:spacing w:after="0" w:line="240" w:lineRule="auto"/>
        <w:jc w:val="both"/>
        <w:rPr>
          <w:rFonts w:ascii="Times New Roman" w:hAnsi="Times New Roman"/>
          <w:sz w:val="24"/>
          <w:szCs w:val="24"/>
        </w:rPr>
      </w:pPr>
      <w:r w:rsidRPr="00CD20A6">
        <w:rPr>
          <w:rFonts w:ascii="Times New Roman" w:hAnsi="Times New Roman"/>
          <w:sz w:val="24"/>
          <w:szCs w:val="24"/>
        </w:rPr>
        <w:t xml:space="preserve">A. Baker, “Cognitive Surrender or Competitive Advantage? The Reality of AI Code Reviews,” </w:t>
      </w:r>
      <w:r w:rsidRPr="00CD20A6">
        <w:rPr>
          <w:rFonts w:ascii="Times New Roman" w:hAnsi="Times New Roman"/>
          <w:i/>
          <w:iCs/>
          <w:sz w:val="24"/>
          <w:szCs w:val="24"/>
        </w:rPr>
        <w:t>Baker Systems Analysis</w:t>
      </w:r>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Autonoma</w:t>
      </w:r>
      <w:proofErr w:type="spellEnd"/>
      <w:r w:rsidRPr="00CD20A6">
        <w:rPr>
          <w:rFonts w:ascii="Times New Roman" w:hAnsi="Times New Roman"/>
          <w:sz w:val="24"/>
          <w:szCs w:val="24"/>
        </w:rPr>
        <w:t xml:space="preserve"> AI Research Group, “Specification-Driven Development as the Foundation of AI-Native Software Systems,” </w:t>
      </w:r>
      <w:proofErr w:type="spellStart"/>
      <w:r w:rsidRPr="00CD20A6">
        <w:rPr>
          <w:rFonts w:ascii="Times New Roman" w:hAnsi="Times New Roman"/>
          <w:i/>
          <w:iCs/>
          <w:sz w:val="24"/>
          <w:szCs w:val="24"/>
        </w:rPr>
        <w:t>arXiv</w:t>
      </w:r>
      <w:proofErr w:type="spellEnd"/>
      <w:r w:rsidRPr="00CD20A6">
        <w:rPr>
          <w:rFonts w:ascii="Times New Roman" w:hAnsi="Times New Roman"/>
          <w:i/>
          <w:iCs/>
          <w:sz w:val="24"/>
          <w:szCs w:val="24"/>
        </w:rPr>
        <w:t xml:space="preserve"> preprint arXiv</w:t>
      </w:r>
      <w:proofErr w:type="gramStart"/>
      <w:r w:rsidRPr="00CD20A6">
        <w:rPr>
          <w:rFonts w:ascii="Times New Roman" w:hAnsi="Times New Roman"/>
          <w:i/>
          <w:iCs/>
          <w:sz w:val="24"/>
          <w:szCs w:val="24"/>
        </w:rPr>
        <w:t>:2607.16680</w:t>
      </w:r>
      <w:proofErr w:type="gramEnd"/>
      <w:r w:rsidRPr="00CD20A6">
        <w:rPr>
          <w:rFonts w:ascii="Times New Roman" w:hAnsi="Times New Roman"/>
          <w:sz w:val="24"/>
          <w:szCs w:val="24"/>
        </w:rPr>
        <w:t>, 2026.</w:t>
      </w:r>
    </w:p>
    <w:p w:rsidR="00CD20A6" w:rsidRPr="00CD20A6" w:rsidRDefault="00CD20A6" w:rsidP="00CD20A6">
      <w:pPr>
        <w:numPr>
          <w:ilvl w:val="0"/>
          <w:numId w:val="7"/>
        </w:numPr>
        <w:spacing w:after="0" w:line="240" w:lineRule="auto"/>
        <w:jc w:val="both"/>
        <w:rPr>
          <w:rFonts w:ascii="Times New Roman" w:hAnsi="Times New Roman"/>
          <w:sz w:val="24"/>
          <w:szCs w:val="24"/>
        </w:rPr>
      </w:pPr>
      <w:proofErr w:type="spellStart"/>
      <w:r w:rsidRPr="00CD20A6">
        <w:rPr>
          <w:rFonts w:ascii="Times New Roman" w:hAnsi="Times New Roman"/>
          <w:sz w:val="24"/>
          <w:szCs w:val="24"/>
        </w:rPr>
        <w:t>Okoone</w:t>
      </w:r>
      <w:proofErr w:type="spellEnd"/>
      <w:r w:rsidRPr="00CD20A6">
        <w:rPr>
          <w:rFonts w:ascii="Times New Roman" w:hAnsi="Times New Roman"/>
          <w:sz w:val="24"/>
          <w:szCs w:val="24"/>
        </w:rPr>
        <w:t xml:space="preserve"> Innovation Labs, “How Vibe Coding Quietly Builds Long-Term Technical Debt in Production Systems,” </w:t>
      </w:r>
      <w:proofErr w:type="spellStart"/>
      <w:r w:rsidRPr="00CD20A6">
        <w:rPr>
          <w:rFonts w:ascii="Times New Roman" w:hAnsi="Times New Roman"/>
          <w:i/>
          <w:iCs/>
          <w:sz w:val="24"/>
          <w:szCs w:val="24"/>
        </w:rPr>
        <w:t>Okoone</w:t>
      </w:r>
      <w:proofErr w:type="spellEnd"/>
      <w:r w:rsidRPr="00CD20A6">
        <w:rPr>
          <w:rFonts w:ascii="Times New Roman" w:hAnsi="Times New Roman"/>
          <w:i/>
          <w:iCs/>
          <w:sz w:val="24"/>
          <w:szCs w:val="24"/>
        </w:rPr>
        <w:t xml:space="preserve"> Technical Series</w:t>
      </w:r>
      <w:r w:rsidRPr="00CD20A6">
        <w:rPr>
          <w:rFonts w:ascii="Times New Roman" w:hAnsi="Times New Roman"/>
          <w:sz w:val="24"/>
          <w:szCs w:val="24"/>
        </w:rPr>
        <w:t>, 2026.</w:t>
      </w:r>
      <w:bookmarkEnd w:id="0"/>
      <w:bookmarkEnd w:id="26"/>
    </w:p>
    <w:p w:rsidR="00624847" w:rsidRPr="00CD20A6" w:rsidRDefault="00624847" w:rsidP="00CD20A6">
      <w:pPr>
        <w:spacing w:after="0" w:line="240" w:lineRule="auto"/>
        <w:jc w:val="both"/>
        <w:rPr>
          <w:rFonts w:ascii="Times New Roman" w:hAnsi="Times New Roman"/>
          <w:sz w:val="24"/>
          <w:szCs w:val="24"/>
        </w:rPr>
      </w:pPr>
    </w:p>
    <w:sectPr w:rsidR="00624847" w:rsidRPr="00CD20A6" w:rsidSect="005A02B3">
      <w:headerReference w:type="default" r:id="rId13"/>
      <w:footerReference w:type="default" r:id="rId14"/>
      <w:pgSz w:w="11907" w:h="16840" w:code="9"/>
      <w:pgMar w:top="1094" w:right="607" w:bottom="607" w:left="607" w:header="346" w:footer="403" w:gutter="0"/>
      <w:pgNumType w:start="215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065D" w:rsidRDefault="0014065D" w:rsidP="00D15D21">
      <w:pPr>
        <w:spacing w:after="0" w:line="240" w:lineRule="auto"/>
      </w:pPr>
      <w:r>
        <w:separator/>
      </w:r>
    </w:p>
  </w:endnote>
  <w:endnote w:type="continuationSeparator" w:id="0">
    <w:p w:rsidR="0014065D" w:rsidRDefault="0014065D" w:rsidP="00D15D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Dutch801 Rm BT">
    <w:altName w:val="Cambria"/>
    <w:charset w:val="00"/>
    <w:family w:val="roman"/>
    <w:pitch w:val="variable"/>
    <w:sig w:usb0="00000087" w:usb1="00000000" w:usb2="00000000" w:usb3="00000000" w:csb0="0000001B" w:csb1="00000000"/>
  </w:font>
  <w:font w:name="Segoe UI">
    <w:altName w:val="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ppleSystemUIFont">
    <w:altName w:val="Cambria"/>
    <w:panose1 w:val="00000000000000000000"/>
    <w:charset w:val="00"/>
    <w:family w:val="roman"/>
    <w:notTrueType/>
    <w:pitch w:val="default"/>
    <w:sig w:usb0="00000000" w:usb1="00000000" w:usb2="00000000" w:usb3="00000000" w:csb0="00000000" w:csb1="00000000"/>
  </w:font>
  <w:font w:name="UICTFontTextStyleBody">
    <w:altName w:val="Cambria"/>
    <w:charset w:val="00"/>
    <w:family w:val="roman"/>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charset w:val="01"/>
    <w:family w:val="roman"/>
    <w:pitch w:val="default"/>
    <w:sig w:usb0="00000000" w:usb1="00000000" w:usb2="00000000" w:usb3="00000000" w:csb0="00000000" w:csb1="00000000"/>
  </w:font>
  <w:font w:name="Droid Sans">
    <w:altName w:val="Times New Roman"/>
    <w:charset w:val="00"/>
    <w:family w:val="auto"/>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ordia New">
    <w:panose1 w:val="020B0304020202020204"/>
    <w:charset w:val="DE"/>
    <w:family w:val="roman"/>
    <w:notTrueType/>
    <w:pitch w:val="variable"/>
    <w:sig w:usb0="01000001" w:usb1="00000000" w:usb2="00000000" w:usb3="00000000" w:csb0="00010000" w:csb1="00000000"/>
  </w:font>
  <w:font w:name="Cambria Math">
    <w:panose1 w:val="02040503050406030204"/>
    <w:charset w:val="00"/>
    <w:family w:val="roman"/>
    <w:pitch w:val="variable"/>
    <w:sig w:usb0="E00006FF" w:usb1="420024FF" w:usb2="02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F83" w:rsidRPr="007050CA" w:rsidRDefault="008A10C7" w:rsidP="00C666F3">
    <w:pPr>
      <w:tabs>
        <w:tab w:val="center" w:pos="4680"/>
        <w:tab w:val="left" w:pos="8980"/>
        <w:tab w:val="right" w:pos="9360"/>
        <w:tab w:val="right" w:pos="10696"/>
      </w:tabs>
      <w:spacing w:after="0"/>
    </w:pPr>
    <w:r>
      <w:rPr>
        <w:noProof/>
      </w:rPr>
      <w:pict>
        <v:shapetype id="_x0000_t202" coordsize="21600,21600" o:spt="202" path="m,l,21600r21600,l21600,xe">
          <v:stroke joinstyle="miter"/>
          <v:path gradientshapeok="t" o:connecttype="rect"/>
        </v:shapetype>
        <v:shape id="Text Box 5" o:spid="_x0000_s1030" type="#_x0000_t202" style="position:absolute;margin-left:9pt;margin-top:816.75pt;width:129pt;height:29.3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KiJ2AEAAJgDAAAOAAAAZHJzL2Uyb0RvYy54bWysU9uO0zAQfUfiHyy/0zQFVlXUdLXsahHS&#10;AistfIDrOIlF4jEzbpPy9YydpMvlDfFijT32mXPOjHfXY9+Jk0Gy4EqZr9ZSGKehsq4p5dcv96+2&#10;UlBQrlIdOFPKsyF5vX/5Yjf4wmygha4yKBjEUTH4UrYh+CLLSLemV7QCbxwna8BeBd5ik1WoBkbv&#10;u2yzXl9lA2DlEbQh4tO7KSn3Cb+ujQ6f65pMEF0pmVtIK6b1ENdsv1NFg8q3Vs801D+w6JV1XPQC&#10;daeCEke0f0H1ViMQ1GGloc+grq02SQOrydd/qHlqlTdJC5tD/mIT/T9Y/en05B9RhPEdjNzAJIL8&#10;A+hvJBzctso15gYRhtaoigvn0bJs8FTMT6PVVFAEOQwfoeImq2OABDTW2EdXWKdgdG7A+WK6GYPQ&#10;seR2k+dbTmnOba7evnmdupKpYnntkcJ7A72IQSmRm5rQ1emBQmSjiuVKLObg3nZdamznfjvgi/Ek&#10;sY+EJ+phPIzCVrO0KOYA1ZnlIEzjwuPNQQv4Q4qBR6WU9P2o0EjRfXBsSZyrJcAlOCyBcpqfljJI&#10;MYW3YZq/o0fbtIw8me7ghm2rbVL0zGKmy+1PQudRjfP16z7dev5Q+58AAAD//wMAUEsDBBQABgAI&#10;AAAAIQCr+2L94QAAAA0BAAAPAAAAZHJzL2Rvd25yZXYueG1sTI/BTsMwEETvSPyDtUjcqN1SXBri&#10;VBWCExIiDQeOTrxNrMbrELtt+HvcExxnZzTzNt9MrmcnHIP1pGA+E8CQGm8stQo+q9e7R2AhajK6&#10;94QKfjDApri+ynVm/JlKPO1iy1IJhUwr6GIcMs5D06HTYeYHpOTt/eh0THJsuRn1OZW7ni+EkNxp&#10;S2mh0wM+d9gcdkenYPtF5Yv9fq8/yn1pq2ot6E0elLq9mbZPwCJO8S8MF/yEDkViqv2RTGC9gqUU&#10;CT0mQz6Ie2ApslquJLD6clov5sCLnP//ovgFAAD//wMAUEsBAi0AFAAGAAgAAAAhALaDOJL+AAAA&#10;4QEAABMAAAAAAAAAAAAAAAAAAAAAAFtDb250ZW50X1R5cGVzXS54bWxQSwECLQAUAAYACAAAACEA&#10;OP0h/9YAAACUAQAACwAAAAAAAAAAAAAAAAAvAQAAX3JlbHMvLnJlbHNQSwECLQAUAAYACAAAACEA&#10;6kSoidgBAACYAwAADgAAAAAAAAAAAAAAAAAuAgAAZHJzL2Uyb0RvYy54bWxQSwECLQAUAAYACAAA&#10;ACEAq/ti/eEAAAANAQAADwAAAAAAAAAAAAAAAAAyBAAAZHJzL2Rvd25yZXYueG1sUEsFBgAAAAAE&#10;AAQA8wAAAEAFAAAAAA==&#10;" filled="f" stroked="f">
          <v:textbox style="mso-next-textbox:#Text Box 5" inset="0,0,0,0">
            <w:txbxContent>
              <w:p w:rsidR="004C1F83" w:rsidRPr="00C1330E" w:rsidRDefault="004C1F83" w:rsidP="006B5EF2">
                <w:pPr>
                  <w:jc w:val="center"/>
                  <w:rPr>
                    <w:rFonts w:ascii="Times New Roman" w:hAnsi="Times New Roman"/>
                    <w:b/>
                    <w:color w:val="2F5496" w:themeColor="accent1" w:themeShade="BF"/>
                  </w:rPr>
                </w:pPr>
                <w:r w:rsidRPr="00C1330E">
                  <w:rPr>
                    <w:rFonts w:ascii="Times New Roman" w:hAnsi="Times New Roman"/>
                    <w:b/>
                    <w:color w:val="2F5496" w:themeColor="accent1" w:themeShade="BF"/>
                    <w:sz w:val="20"/>
                  </w:rPr>
                  <w:t>www.jamsjournals.org</w:t>
                </w:r>
              </w:p>
              <w:p w:rsidR="004C1F83" w:rsidRPr="00C1330E" w:rsidRDefault="004C1F83" w:rsidP="006B5EF2">
                <w:pPr>
                  <w:rPr>
                    <w:b/>
                    <w:color w:val="2F5496" w:themeColor="accent1" w:themeShade="BF"/>
                    <w:szCs w:val="20"/>
                  </w:rPr>
                </w:pPr>
              </w:p>
              <w:p w:rsidR="004C1F83" w:rsidRPr="00C1330E" w:rsidRDefault="004C1F83" w:rsidP="006B5EF2">
                <w:pPr>
                  <w:rPr>
                    <w:b/>
                    <w:color w:val="2F5496" w:themeColor="accent1" w:themeShade="BF"/>
                  </w:rPr>
                </w:pPr>
              </w:p>
            </w:txbxContent>
          </v:textbox>
          <w10:wrap anchorx="page" anchory="page"/>
        </v:shape>
      </w:pict>
    </w:r>
    <w:r>
      <w:rPr>
        <w:noProof/>
      </w:rPr>
      <w:pict>
        <v:shape id="Text Box 3" o:spid="_x0000_s1028" type="#_x0000_t202" style="position:absolute;margin-left:456pt;margin-top:812.85pt;width:130.5pt;height:17.5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29S2QEAAJgDAAAOAAAAZHJzL2Uyb0RvYy54bWysU9tu2zAMfR+wfxD0vtgxuiEw4hRdiw4D&#10;ugvQ7QMUWbaF2aJGKrGzrx8lx+m2vhV7EShROjznkNpeT0MvjgbJgqvkepVLYZyG2rq2kt+/3b/Z&#10;SEFBuVr14EwlT4bk9e71q+3oS1NAB31tUDCIo3L0lexC8GWWke7MoGgF3jhONoCDCrzFNqtRjYw+&#10;9FmR5++yEbD2CNoQ8endnJS7hN80RocvTUMmiL6SzC2kFdO6j2u226qyReU7q8801AtYDMo6LnqB&#10;ulNBiQPaZ1CD1QgETVhpGDJoGqtN0sBq1vk/ah475U3SwuaQv9hE/w9Wfz4++q8owvQeJm5gEkH+&#10;AfQPEg5uO+Vac4MIY2dUzYXX0bJs9FSen0arqaQIsh8/Qc1NVocACWhqcIiusE7B6NyA08V0MwWh&#10;Y8mrq3y94ZTmXFEUm83bVEKVy2uPFD4YGEQMKonc1ISujg8UIhtVLldiMQf3tu9TY3v31wFfjCeJ&#10;fSQ8Uw/TfhK25uKxbhSzh/rEchDmceHx5qAD/CXFyKNSSfp5UGik6D86tiTO1RLgEuyXQDnNTysZ&#10;pJjD2zDP38GjbTtGnk13cMO2NTYpemJxpsvtT0LPoxrn6899uvX0oXa/AQAA//8DAFBLAwQUAAYA&#10;CAAAACEAnowRwOEAAAAMAQAADwAAAGRycy9kb3ducmV2LnhtbEyPwU7DMAyG70i8Q2QkbiyhsG4r&#10;TacJwWkSoisHjmmTtdEapzTZ1r093gmO/v3p9+d8PbmencwYrEcJjzMBzGDjtcVWwlf1/rAEFqJC&#10;rXqPRsLFBFgXtze5yrQ/Y2lOu9gyKsGQKQldjEPGeWg641SY+cEg7fZ+dCrSOLZcj+pM5a7niRAp&#10;d8oiXejUYF470xx2Rydh843lm/35qD/LfWmraiVwmx6kvL+bNi/AopniHwxXfVKHgpxqf0QdWC8h&#10;XcyJpDxN5gtgRCSr5ydg9TVKxRJ4kfP/TxS/AAAA//8DAFBLAQItABQABgAIAAAAIQC2gziS/gAA&#10;AOEBAAATAAAAAAAAAAAAAAAAAAAAAABbQ29udGVudF9UeXBlc10ueG1sUEsBAi0AFAAGAAgAAAAh&#10;ADj9If/WAAAAlAEAAAsAAAAAAAAAAAAAAAAALwEAAF9yZWxzLy5yZWxzUEsBAi0AFAAGAAgAAAAh&#10;AJEDb1LZAQAAmAMAAA4AAAAAAAAAAAAAAAAALgIAAGRycy9lMm9Eb2MueG1sUEsBAi0AFAAGAAgA&#10;AAAhAJ6MEcDhAAAADAEAAA8AAAAAAAAAAAAAAAAAMwQAAGRycy9kb3ducmV2LnhtbFBLBQYAAAAA&#10;BAAEAPMAAABBBQAAAAA=&#10;" filled="f" stroked="f">
          <v:textbox style="mso-next-textbox:#Text Box 3" inset="0,0,0,0">
            <w:txbxContent>
              <w:p w:rsidR="004C1F83" w:rsidRPr="00C1330E" w:rsidRDefault="004C1F83" w:rsidP="001B6423">
                <w:pPr>
                  <w:jc w:val="center"/>
                  <w:rPr>
                    <w:rFonts w:ascii="Times New Roman" w:hAnsi="Times New Roman"/>
                    <w:b/>
                    <w:color w:val="2F5496" w:themeColor="accent1" w:themeShade="BF"/>
                    <w:sz w:val="20"/>
                  </w:rPr>
                </w:pPr>
                <w:r w:rsidRPr="00C1330E">
                  <w:rPr>
                    <w:rFonts w:ascii="Times New Roman" w:hAnsi="Times New Roman"/>
                    <w:b/>
                    <w:color w:val="2F5496" w:themeColor="accent1" w:themeShade="BF"/>
                    <w:sz w:val="20"/>
                  </w:rPr>
                  <w:t xml:space="preserve">                      Page </w:t>
                </w:r>
                <w:r w:rsidR="008A10C7" w:rsidRPr="00C1330E">
                  <w:rPr>
                    <w:rFonts w:ascii="Times New Roman" w:hAnsi="Times New Roman"/>
                    <w:b/>
                    <w:color w:val="2F5496" w:themeColor="accent1" w:themeShade="BF"/>
                    <w:sz w:val="20"/>
                  </w:rPr>
                  <w:fldChar w:fldCharType="begin"/>
                </w:r>
                <w:r w:rsidRPr="00C1330E">
                  <w:rPr>
                    <w:rFonts w:ascii="Times New Roman" w:hAnsi="Times New Roman"/>
                    <w:b/>
                    <w:color w:val="2F5496" w:themeColor="accent1" w:themeShade="BF"/>
                    <w:sz w:val="20"/>
                  </w:rPr>
                  <w:instrText xml:space="preserve"> PAGE </w:instrText>
                </w:r>
                <w:r w:rsidR="008A10C7" w:rsidRPr="00C1330E">
                  <w:rPr>
                    <w:rFonts w:ascii="Times New Roman" w:hAnsi="Times New Roman"/>
                    <w:b/>
                    <w:color w:val="2F5496" w:themeColor="accent1" w:themeShade="BF"/>
                    <w:sz w:val="20"/>
                  </w:rPr>
                  <w:fldChar w:fldCharType="separate"/>
                </w:r>
                <w:r w:rsidR="0073009B">
                  <w:rPr>
                    <w:rFonts w:ascii="Times New Roman" w:hAnsi="Times New Roman"/>
                    <w:b/>
                    <w:noProof/>
                    <w:color w:val="2F5496" w:themeColor="accent1" w:themeShade="BF"/>
                    <w:sz w:val="20"/>
                  </w:rPr>
                  <w:t>2152</w:t>
                </w:r>
                <w:r w:rsidR="008A10C7" w:rsidRPr="00C1330E">
                  <w:rPr>
                    <w:rFonts w:ascii="Times New Roman" w:hAnsi="Times New Roman"/>
                    <w:b/>
                    <w:color w:val="2F5496" w:themeColor="accent1" w:themeShade="BF"/>
                    <w:sz w:val="20"/>
                  </w:rPr>
                  <w:fldChar w:fldCharType="end"/>
                </w:r>
              </w:p>
            </w:txbxContent>
          </v:textbox>
          <w10:wrap anchorx="page" anchory="page"/>
        </v:shape>
      </w:pict>
    </w:r>
    <w:r>
      <w:rPr>
        <w:noProof/>
      </w:rPr>
      <w:pict>
        <v:rect id="Rectangle 1" o:spid="_x0000_s1029" style="position:absolute;margin-left:33.75pt;margin-top:808.2pt;width:525.3pt;height:1.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Ial6AEAALQDAAAOAAAAZHJzL2Uyb0RvYy54bWysU9tu2zAMfR+wfxD0vtjO0rQ14hRFig4D&#10;ugvQ7QNkWbKFyaJGKXGyrx+lpGmwvQ2DAUEUxaNzyOPV3X60bKcwGHANr2YlZ8pJ6IzrG/792+O7&#10;G85CFK4TFpxq+EEFfrd++2Y1+VrNYQDbKWQE4kI9+YYPMfq6KIIc1CjCDLxylNSAo4gUYl90KCZC&#10;H20xL8tlMQF2HkGqEOj04Zjk64yvtZLxi9ZBRWYbTtxiXjGvbVqL9UrUPQo/GHmiIf6BxSiMo0fP&#10;UA8iCrZF8xfUaCRCAB1nEsYCtDZSZQ2kpir/UPM8CK+yFmpO8Oc2hf8HKz/vnv1XTNSDfwL5IzAH&#10;m0G4Xt0jwjQo0dFzVWpUMflQnwtSEKiUtdMn6Gi0Yhsh92CvcUyApI7tc6sP51arfWSSDpfL6+p9&#10;RRORlKtuy6s8ikLUL8UeQ/ygYGRp03CkSWZwsXsKMZER9cuVTB6s6R6NtTnAvt1YZDtBU78p05f5&#10;k8bLa9alyw5S2RExnWSVSVjyUKhb6A4kEuFoHbI6bQbAX5xNZJuGh59bgYoz+9FRo26rxSL5LAeL&#10;q+s5BXiZaS8zwkmCanjk7LjdxKM3tx5NP9BLVRbt4J6aq00W/srqRJaskftxsnHy3mWcb73+bOvf&#10;AAAA//8DAFBLAwQUAAYACAAAACEAG8hGceAAAAANAQAADwAAAGRycy9kb3ducmV2LnhtbEyPwW7C&#10;MAyG75N4h8hI3EYa1HVd1xQhxNAuO8CmnUPjtRWNUyUBOp5+YZft6N+ffn8ul6Pp2Rmd7yxJEPME&#10;GFJtdUeNhI/3l/scmA+KtOotoYRv9LCsJnelKrS90A7P+9CwWEK+UBLaEIaCc1+3aJSf2wEp7r6s&#10;MyrE0TVcO3WJ5abniyTJuFEdxQutGnDdYn3cn4yERAv3+rZO+bVebfPP42Zhr3Yr5Ww6rp6BBRzD&#10;Hww3/agOVXQ62BNpz3oJ2eNDJGOeiSwFdiOEyAWww2/2lAKvSv7/i+oHAAD//wMAUEsBAi0AFAAG&#10;AAgAAAAhALaDOJL+AAAA4QEAABMAAAAAAAAAAAAAAAAAAAAAAFtDb250ZW50X1R5cGVzXS54bWxQ&#10;SwECLQAUAAYACAAAACEAOP0h/9YAAACUAQAACwAAAAAAAAAAAAAAAAAvAQAAX3JlbHMvLnJlbHNQ&#10;SwECLQAUAAYACAAAACEA9HiGpegBAAC0AwAADgAAAAAAAAAAAAAAAAAuAgAAZHJzL2Uyb0RvYy54&#10;bWxQSwECLQAUAAYACAAAACEAG8hGceAAAAANAQAADwAAAAAAAAAAAAAAAABCBAAAZHJzL2Rvd25y&#10;ZXYueG1sUEsFBgAAAAAEAAQA8wAAAE8FAAAAAA==&#10;" fillcolor="gray" stroked="f">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065D" w:rsidRDefault="0014065D" w:rsidP="00D15D21">
      <w:pPr>
        <w:spacing w:after="0" w:line="240" w:lineRule="auto"/>
      </w:pPr>
      <w:r>
        <w:separator/>
      </w:r>
    </w:p>
  </w:footnote>
  <w:footnote w:type="continuationSeparator" w:id="0">
    <w:p w:rsidR="0014065D" w:rsidRDefault="0014065D" w:rsidP="00D15D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F83" w:rsidRDefault="004C1F83" w:rsidP="004D21DD">
    <w:pPr>
      <w:widowControl w:val="0"/>
      <w:tabs>
        <w:tab w:val="center" w:pos="5346"/>
      </w:tabs>
      <w:autoSpaceDE w:val="0"/>
      <w:autoSpaceDN w:val="0"/>
      <w:spacing w:after="0"/>
      <w:jc w:val="both"/>
      <w:rPr>
        <w:rFonts w:ascii="Times New Roman" w:eastAsia="Aptos" w:hAnsi="Times New Roman"/>
        <w:kern w:val="1"/>
        <w:sz w:val="20"/>
        <w:szCs w:val="20"/>
        <w:lang w:eastAsia="en-IN"/>
      </w:rPr>
    </w:pPr>
    <w:r>
      <w:rPr>
        <w:rFonts w:ascii="Times New Roman" w:hAnsi="Times New Roman"/>
        <w:noProof/>
        <w:sz w:val="20"/>
        <w:szCs w:val="20"/>
        <w:lang w:bidi="hi-IN"/>
      </w:rPr>
      <w:drawing>
        <wp:anchor distT="0" distB="0" distL="114300" distR="114300" simplePos="0" relativeHeight="251671552" behindDoc="0" locked="0" layoutInCell="1" allowOverlap="1">
          <wp:simplePos x="0" y="0"/>
          <wp:positionH relativeFrom="column">
            <wp:posOffset>6034405</wp:posOffset>
          </wp:positionH>
          <wp:positionV relativeFrom="paragraph">
            <wp:posOffset>-172085</wp:posOffset>
          </wp:positionV>
          <wp:extent cx="754380" cy="550545"/>
          <wp:effectExtent l="38100" t="0" r="26670" b="154305"/>
          <wp:wrapTopAndBottom/>
          <wp:docPr id="1" name="Picture 0" descr="JAMS.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S.png"/>
                  <pic:cNvPicPr/>
                </pic:nvPicPr>
                <pic:blipFill>
                  <a:blip r:embed="rId2" cstate="print"/>
                  <a:stretch>
                    <a:fillRect/>
                  </a:stretch>
                </pic:blipFill>
                <pic:spPr>
                  <a:xfrm>
                    <a:off x="0" y="0"/>
                    <a:ext cx="754380" cy="5505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8A10C7" w:rsidRPr="008A10C7">
      <w:rPr>
        <w:rFonts w:ascii="Times New Roman" w:hAnsi="Times New Roman"/>
        <w:noProof/>
        <w:sz w:val="20"/>
        <w:szCs w:val="20"/>
        <w:lang w:eastAsia="en-IN"/>
      </w:rPr>
      <w:pict>
        <v:shapetype id="_x0000_t202" coordsize="21600,21600" o:spt="202" path="m,l,21600r21600,l21600,xe">
          <v:stroke joinstyle="miter"/>
          <v:path gradientshapeok="t" o:connecttype="rect"/>
        </v:shapetype>
        <v:shape id="Text Box 1987314916" o:spid="_x0000_s1026" type="#_x0000_t202" style="position:absolute;left:0;text-align:left;margin-left:42pt;margin-top:15.6pt;width:465pt;height:31.5pt;z-index:-251648000;visibility:visible;mso-wrap-distance-left:0;mso-wrap-distance-right:0;mso-position-horizontal-relative:page;mso-position-vertic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TkClQEAABsDAAAOAAAAZHJzL2Uyb0RvYy54bWysUsGO0zAQvSPxD5bv1OkuBTZqugJWIKQV&#10;i7TwAa5jNxGxx8y4Tfr3jL1pi9gb4jIe2+M3773x+nbygzhYpB5CI5eLSgobDLR92DXyx/dPr95J&#10;QUmHVg8QbCOPluTt5uWL9RhrewUdDK1FwSCB6jE2sksp1kqR6azXtIBoA186QK8Tb3GnWtQjo/tB&#10;XVXVGzUCthHBWCI+vXu6lJuC75w16cE5skkMjWRuqUQscZuj2qx1vUMdu97MNPQ/sPC6D9z0DHWn&#10;kxZ77J9B+d4gELi0MOAVONcbWzSwmmX1l5rHTkdbtLA5FM820f+DNV8Pj/EbijR9gIkHWERQvAfz&#10;k9gbNUaq55rsKdXE1Vno5NDnlSUIfsjeHs9+2ikJw4er6+ubt8uVFIbvXldVtSqGq8vriJQ+W/Ai&#10;J41EnldhoA/3lHJ/XZ9KZjJP/TOTNG0nLsnpFtojixh5jo2kX3uNVorhS2Cj8tBPCZ6S7SnBNHyE&#10;8jWylgDv9wlcXzpfcOfOPIFCaP4tecR/7kvV5U9vfgMAAP//AwBQSwMEFAAGAAgAAAAhAG2hdh7f&#10;AAAACgEAAA8AAABkcnMvZG93bnJldi54bWxMj8FOwzAQRO9I/IO1SNyoExciEuJUFYITEiINB45O&#10;vE2sxusQu234e9wTHFfzNPO23Cx2ZCecvXEkIV0lwJA6pw31Ej6b17tHYD4o0mp0hBJ+0MOmur4q&#10;VaHdmWo87ULPYgn5QkkYQpgKzn03oFV+5SakmO3dbFWI59xzPatzLLcjF0mScasMxYVBTfg8YHfY&#10;Ha2E7RfVL+b7vf2o97Vpmjyht+wg5e3Nsn0CFnAJfzBc9KM6VNGpdUfSno0SRJ5mEZWwTgWwC5Cu&#10;xQOwVkJ+L4BXJf//QvULAAD//wMAUEsBAi0AFAAGAAgAAAAhALaDOJL+AAAA4QEAABMAAAAAAAAA&#10;AAAAAAAAAAAAAFtDb250ZW50X1R5cGVzXS54bWxQSwECLQAUAAYACAAAACEAOP0h/9YAAACUAQAA&#10;CwAAAAAAAAAAAAAAAAAvAQAAX3JlbHMvLnJlbHNQSwECLQAUAAYACAAAACEAVA05ApUBAAAbAwAA&#10;DgAAAAAAAAAAAAAAAAAuAgAAZHJzL2Uyb0RvYy54bWxQSwECLQAUAAYACAAAACEAbaF2Ht8AAAAK&#10;AQAADwAAAAAAAAAAAAAAAADvAwAAZHJzL2Rvd25yZXYueG1sUEsFBgAAAAAEAAQA8wAAAPsEAAAA&#10;AA==&#10;" filled="f" stroked="f">
          <v:textbox style="mso-next-textbox:#Text Box 1987314916" inset="0,0,0,0">
            <w:txbxContent>
              <w:p w:rsidR="004C1F83" w:rsidRPr="001B6423" w:rsidRDefault="004C1F83" w:rsidP="001B6423">
                <w:pPr>
                  <w:jc w:val="center"/>
                  <w:rPr>
                    <w:rFonts w:ascii="Times New Roman" w:hAnsi="Times New Roman"/>
                    <w:sz w:val="24"/>
                    <w:szCs w:val="24"/>
                  </w:rPr>
                </w:pPr>
                <w:r w:rsidRPr="001B6423">
                  <w:rPr>
                    <w:rFonts w:ascii="Times New Roman" w:hAnsi="Times New Roman"/>
                    <w:b/>
                    <w:bCs/>
                    <w:color w:val="1F3864" w:themeColor="accent1" w:themeShade="80"/>
                    <w:sz w:val="24"/>
                    <w:szCs w:val="20"/>
                  </w:rPr>
                  <w:t xml:space="preserve">JOURNAL OF ADVANCED MULTIDISCIPLINARY STUDIES </w:t>
                </w:r>
                <w:r w:rsidRPr="001B6423">
                  <w:rPr>
                    <w:rFonts w:ascii="Times New Roman" w:hAnsi="Times New Roman"/>
                    <w:b/>
                    <w:color w:val="1F3864" w:themeColor="accent1" w:themeShade="80"/>
                    <w:sz w:val="24"/>
                    <w:szCs w:val="20"/>
                  </w:rPr>
                  <w:t>(JAMS)</w:t>
                </w:r>
                <w:r w:rsidRPr="001B6423">
                  <w:rPr>
                    <w:rFonts w:ascii="Times New Roman" w:hAnsi="Times New Roman"/>
                    <w:b/>
                    <w:bCs/>
                    <w:color w:val="1F3864" w:themeColor="accent1" w:themeShade="80"/>
                    <w:sz w:val="24"/>
                    <w:szCs w:val="20"/>
                  </w:rPr>
                  <w:t xml:space="preserve">                                                                     </w:t>
                </w:r>
                <w:r w:rsidRPr="001B6423">
                  <w:rPr>
                    <w:rFonts w:ascii="Times New Roman" w:hAnsi="Times New Roman"/>
                    <w:b/>
                    <w:color w:val="2F5496" w:themeColor="accent1" w:themeShade="BF"/>
                    <w:sz w:val="24"/>
                    <w:szCs w:val="24"/>
                  </w:rPr>
                  <w:t>JAMS |Volume I Issue I</w:t>
                </w:r>
                <w:r>
                  <w:rPr>
                    <w:rFonts w:ascii="Times New Roman" w:hAnsi="Times New Roman"/>
                    <w:b/>
                    <w:color w:val="2F5496" w:themeColor="accent1" w:themeShade="BF"/>
                    <w:sz w:val="24"/>
                    <w:szCs w:val="24"/>
                  </w:rPr>
                  <w:t>I</w:t>
                </w:r>
                <w:r w:rsidRPr="001B6423">
                  <w:rPr>
                    <w:rFonts w:ascii="Times New Roman" w:hAnsi="Times New Roman"/>
                    <w:b/>
                    <w:color w:val="2F5496" w:themeColor="accent1" w:themeShade="BF"/>
                    <w:sz w:val="24"/>
                    <w:szCs w:val="24"/>
                  </w:rPr>
                  <w:t xml:space="preserve"> </w:t>
                </w:r>
                <w:r>
                  <w:rPr>
                    <w:rFonts w:ascii="Times New Roman" w:hAnsi="Times New Roman"/>
                    <w:b/>
                    <w:color w:val="2F5496" w:themeColor="accent1" w:themeShade="BF"/>
                    <w:sz w:val="24"/>
                    <w:szCs w:val="24"/>
                  </w:rPr>
                  <w:t>September</w:t>
                </w:r>
                <w:r w:rsidRPr="001B6423">
                  <w:rPr>
                    <w:rFonts w:ascii="Times New Roman" w:hAnsi="Times New Roman"/>
                    <w:b/>
                    <w:color w:val="2F5496" w:themeColor="accent1" w:themeShade="BF"/>
                    <w:sz w:val="24"/>
                    <w:szCs w:val="24"/>
                  </w:rPr>
                  <w:t xml:space="preserve"> 2026</w:t>
                </w:r>
                <w:r>
                  <w:rPr>
                    <w:rFonts w:ascii="Times New Roman" w:hAnsi="Times New Roman"/>
                    <w:b/>
                    <w:color w:val="2F5496" w:themeColor="accent1" w:themeShade="BF"/>
                    <w:sz w:val="24"/>
                    <w:szCs w:val="24"/>
                  </w:rPr>
                  <w:t xml:space="preserve"> | DOI: 10.68050/JAMS</w:t>
                </w:r>
              </w:p>
              <w:p w:rsidR="004C1F83" w:rsidRPr="006B5EF2" w:rsidRDefault="004C1F83" w:rsidP="001B6423">
                <w:pPr>
                  <w:jc w:val="center"/>
                  <w:rPr>
                    <w:rFonts w:ascii="Times New Roman" w:hAnsi="Times New Roman"/>
                    <w:sz w:val="20"/>
                    <w:szCs w:val="20"/>
                  </w:rPr>
                </w:pPr>
              </w:p>
            </w:txbxContent>
          </v:textbox>
          <w10:wrap anchorx="page" anchory="page"/>
        </v:shape>
      </w:pict>
    </w:r>
  </w:p>
  <w:p w:rsidR="004C1F83" w:rsidRPr="00E67DAA" w:rsidRDefault="004C1F83" w:rsidP="004D21DD">
    <w:pPr>
      <w:widowControl w:val="0"/>
      <w:tabs>
        <w:tab w:val="center" w:pos="5346"/>
      </w:tabs>
      <w:autoSpaceDE w:val="0"/>
      <w:autoSpaceDN w:val="0"/>
      <w:spacing w:after="0"/>
      <w:jc w:val="both"/>
      <w:rPr>
        <w:rFonts w:ascii="Times New Roman" w:eastAsia="Aptos" w:hAnsi="Times New Roman"/>
        <w:kern w:val="1"/>
        <w:sz w:val="20"/>
        <w:szCs w:val="20"/>
        <w:lang w:eastAsia="en-IN"/>
      </w:rPr>
    </w:pPr>
  </w:p>
  <w:p w:rsidR="004C1F83" w:rsidRPr="00E67DAA" w:rsidRDefault="008A10C7" w:rsidP="004D21DD">
    <w:pPr>
      <w:widowControl w:val="0"/>
      <w:tabs>
        <w:tab w:val="center" w:pos="4680"/>
        <w:tab w:val="right" w:pos="9360"/>
      </w:tabs>
      <w:autoSpaceDE w:val="0"/>
      <w:autoSpaceDN w:val="0"/>
      <w:spacing w:after="0"/>
      <w:rPr>
        <w:rFonts w:ascii="Times New Roman" w:eastAsia="Aptos" w:hAnsi="Times New Roman"/>
        <w:kern w:val="1"/>
        <w:sz w:val="20"/>
        <w:szCs w:val="20"/>
        <w:lang w:eastAsia="en-IN"/>
      </w:rPr>
    </w:pPr>
    <w:r w:rsidRPr="008A10C7">
      <w:rPr>
        <w:rFonts w:ascii="Times New Roman" w:hAnsi="Times New Roman"/>
        <w:noProof/>
        <w:sz w:val="20"/>
        <w:szCs w:val="20"/>
        <w:lang w:eastAsia="en-IN"/>
      </w:rPr>
    </w:r>
    <w:r w:rsidRPr="008A10C7">
      <w:rPr>
        <w:rFonts w:ascii="Times New Roman" w:hAnsi="Times New Roman"/>
        <w:noProof/>
        <w:sz w:val="20"/>
        <w:szCs w:val="20"/>
        <w:lang w:eastAsia="en-IN"/>
      </w:rPr>
      <w:pict>
        <v:group id="Group 406503008" o:spid="_x0000_s1032" style="width:532.8pt;height:1.5pt;mso-position-horizontal-relative:char;mso-position-vertical-relative:line" coordsize="6671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5vbNgMAANEIAAAOAAAAZHJzL2Uyb0RvYy54bWykVttu2zAMfR+wfxD8OGC1nYuTGE2KoV2D&#10;AbsUaPYBiixfMNvSJCVO9/UjJdt1UqTtOgSwKfOIIg8vyuXVoSrJnitdiHrphReBR3jNRFLU2dL7&#10;ubn9OPeINrROaClqvvQeuPauVu/fXTYy5iORizLhioCRWseNXHq5MTL2fc1yXlF9ISSvQZkKVVED&#10;S5X5iaINWK9KfxQEkd8IlUglGNcavt44pbey9tOUM/MjTTU3pFx64JuxT2WfW3z6q0saZ4rKvGCt&#10;G/QNXlS0qOHQ3tQNNZTsVPHEVFUwJbRIzQUTlS/StGDcxgDRhMFJNGsldtLGksVNJnuagNoTnt5s&#10;ln3fr5W8l3fKeQ/iV8F+aeDFb2QWD/W4zhyYbJtvIoF80p0RNvBDqio0ASGRg+X3oeeXHwxh8DGK&#10;RtE8gjQw0IWLYNryz3JI0pNdLP/c75uF434X5synsTvQOtk6hUmHKtKPROn/I+o+p5Jb/jUScadI&#10;kYDj43AeTubTCFyqaQUkrNv6maFr6AOAO0r1kM+BBmEaaH8rk2cZoTHbabPmwqaD7r9q44o8Ackm&#10;OWnd3kAm0qqEev/gkyiahcE0Io2VxsGibY0eHA7AAcnJIH9ZDxodgc7aAub6g8/amhyBztqaDmDW&#10;p3O+RQPgi9HOBuBnrcJ860N50epiAD6KG+o56/JD8y5l7FC3OQOJUBypgW02KTS2CyYQOmkTti0B&#10;KEzwGTDkBsHjV4GBfARPXwUGZhFsyx8ied4NIAzBtr46sHu3sSoY2qfjWnkExvXW1aSkBinCUFEk&#10;DU4W6AeoWZJ3gwW1ldjzjbA4g3y1+bEO2NED5z5iynqIddR2qE7XvaW15zB9I4C1Tt+9HW547r+h&#10;T89npdDczT8M3Q7Cng5kcdD6WpRFcluUJRKgVba9LhXZU7gI5wH+2tQewUpbQLXAbe4Y/AJD1g0r&#10;N922InmAwaWEu03h9gchF+qPRxqYhEtP/95RxT1SfqlhAi/CyQSYMnYxmc5GsFBDzXaooTUDU0vP&#10;eFDwKF4bd13vpCqyHE4KbQvU4hNcPWmBw83657xqF3AJWMnemyAdXczDtUU9/hNZ/QUAAP//AwBQ&#10;SwMEFAAGAAgAAAAhAK9oByfbAAAABAEAAA8AAABkcnMvZG93bnJldi54bWxMj0FLw0AQhe+C/2EZ&#10;wZvdjdFSYjalFPVUBFtBeptmp0lodjZkt0n679160cvA4z3e+yZfTrYVA/W+cawhmSkQxKUzDVca&#10;vnZvDwsQPiAbbB2Thgt5WBa3Nzlmxo38ScM2VCKWsM9QQx1Cl0npy5os+pnriKN3dL3FEGVfSdPj&#10;GMttKx+VmkuLDceFGjta11Setmer4X3EcZUmr8PmdFxf9rvnj+9NQlrf302rFxCBpvAXhit+RIci&#10;Mh3cmY0XrYb4SPi9V089pXMQBw2pAlnk8j988QMAAP//AwBQSwECLQAUAAYACAAAACEAtoM4kv4A&#10;AADhAQAAEwAAAAAAAAAAAAAAAAAAAAAAW0NvbnRlbnRfVHlwZXNdLnhtbFBLAQItABQABgAIAAAA&#10;IQA4/SH/1gAAAJQBAAALAAAAAAAAAAAAAAAAAC8BAABfcmVscy8ucmVsc1BLAQItABQABgAIAAAA&#10;IQDWH5vbNgMAANEIAAAOAAAAAAAAAAAAAAAAAC4CAABkcnMvZTJvRG9jLnhtbFBLAQItABQABgAI&#10;AAAAIQCvaAcn2wAAAAQBAAAPAAAAAAAAAAAAAAAAAJAFAABkcnMvZG93bnJldi54bWxQSwUGAAAA&#10;AAQABADzAAAAmAYAAAAA&#10;">
          <v:shape id="Graphic 7" o:spid="_x0000_s1027" style="position:absolute;width:66713;height:190;visibility:visible;mso-wrap-style:square;v-text-anchor:top" coordsize="6671309,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sO/xwAAAOMAAAAPAAAAZHJzL2Rvd25yZXYueG1sRE9fa8Iw&#10;EH8f7DuEG+xtpp3Vlc4oIii+jdbBXm/NrSlrLqWJtfv2Rhj4eL//t9pMthMjDb51rCCdJSCIa6db&#10;bhR8nvYvOQgfkDV2jknBH3nYrB8fVlhod+GSxio0IoawL1CBCaEvpPS1IYt+5nriyP24wWKI59BI&#10;PeAlhttOvibJUlpsOTYY7GlnqP6tzlbB+PV9SD/K0mZ+e9B9m2X7N3NU6vlp2r6DCDSFu/jffdRx&#10;/jzN0yxfLOdw+ykCINdXAAAA//8DAFBLAQItABQABgAIAAAAIQDb4fbL7gAAAIUBAAATAAAAAAAA&#10;AAAAAAAAAAAAAABbQ29udGVudF9UeXBlc10ueG1sUEsBAi0AFAAGAAgAAAAhAFr0LFu/AAAAFQEA&#10;AAsAAAAAAAAAAAAAAAAAHwEAAF9yZWxzLy5yZWxzUEsBAi0AFAAGAAgAAAAhAHKuw7/HAAAA4wAA&#10;AA8AAAAAAAAAAAAAAAAABwIAAGRycy9kb3ducmV2LnhtbFBLBQYAAAAAAwADALcAAAD7AgAAAAA=&#10;" path="m6671056,l,,,19050r6671056,l6671056,xe" fillcolor="gray" stroked="f">
            <v:path arrowok="t" o:connecttype="custom" o:connectlocs="66710,0;0,0;0,190;66710,190;66710,0" o:connectangles="0,0,0,0,0"/>
          </v:shape>
          <w10:wrap type="none"/>
          <w10:anchorlock/>
        </v:group>
      </w:pict>
    </w:r>
    <w:r w:rsidRPr="008A10C7">
      <w:rPr>
        <w:rFonts w:ascii="Times New Roman" w:hAnsi="Times New Roman"/>
        <w:noProof/>
        <w:sz w:val="20"/>
        <w:szCs w:val="20"/>
        <w:lang w:eastAsia="en-IN"/>
      </w:rPr>
      <w:pict>
        <v:rect id="Rectangle 966467482" o:spid="_x0000_s1031" style="position:absolute;margin-left:33.75pt;margin-top:808.2pt;width:525.3pt;height:1.5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Ial6AEAALQDAAAOAAAAZHJzL2Uyb0RvYy54bWysU9tu2zAMfR+wfxD0vtjO0rQ14hRFig4D&#10;ugvQ7QNkWbKFyaJGKXGyrx+lpGmwvQ2DAUEUxaNzyOPV3X60bKcwGHANr2YlZ8pJ6IzrG/792+O7&#10;G85CFK4TFpxq+EEFfrd++2Y1+VrNYQDbKWQE4kI9+YYPMfq6KIIc1CjCDLxylNSAo4gUYl90KCZC&#10;H20xL8tlMQF2HkGqEOj04Zjk64yvtZLxi9ZBRWYbTtxiXjGvbVqL9UrUPQo/GHmiIf6BxSiMo0fP&#10;UA8iCrZF8xfUaCRCAB1nEsYCtDZSZQ2kpir/UPM8CK+yFmpO8Oc2hf8HKz/vnv1XTNSDfwL5IzAH&#10;m0G4Xt0jwjQo0dFzVWpUMflQnwtSEKiUtdMn6Gi0Yhsh92CvcUyApI7tc6sP51arfWSSDpfL6+p9&#10;RRORlKtuy6s8ikLUL8UeQ/ygYGRp03CkSWZwsXsKMZER9cuVTB6s6R6NtTnAvt1YZDtBU78p05f5&#10;k8bLa9alyw5S2RExnWSVSVjyUKhb6A4kEuFoHbI6bQbAX5xNZJuGh59bgYoz+9FRo26rxSL5LAeL&#10;q+s5BXiZaS8zwkmCanjk7LjdxKM3tx5NP9BLVRbt4J6aq00W/srqRJaskftxsnHy3mWcb73+bOvf&#10;AAAA//8DAFBLAwQUAAYACAAAACEAG8hGceAAAAANAQAADwAAAGRycy9kb3ducmV2LnhtbEyPwW7C&#10;MAyG75N4h8hI3EYa1HVd1xQhxNAuO8CmnUPjtRWNUyUBOp5+YZft6N+ffn8ul6Pp2Rmd7yxJEPME&#10;GFJtdUeNhI/3l/scmA+KtOotoYRv9LCsJnelKrS90A7P+9CwWEK+UBLaEIaCc1+3aJSf2wEp7r6s&#10;MyrE0TVcO3WJ5abniyTJuFEdxQutGnDdYn3cn4yERAv3+rZO+bVebfPP42Zhr3Yr5Ww6rp6BBRzD&#10;Hww3/agOVXQ62BNpz3oJ2eNDJGOeiSwFdiOEyAWww2/2lAKvSv7/i+oHAAD//wMAUEsBAi0AFAAG&#10;AAgAAAAhALaDOJL+AAAA4QEAABMAAAAAAAAAAAAAAAAAAAAAAFtDb250ZW50X1R5cGVzXS54bWxQ&#10;SwECLQAUAAYACAAAACEAOP0h/9YAAACUAQAACwAAAAAAAAAAAAAAAAAvAQAAX3JlbHMvLnJlbHNQ&#10;SwECLQAUAAYACAAAACEA9HiGpegBAAC0AwAADgAAAAAAAAAAAAAAAAAuAgAAZHJzL2Uyb0RvYy54&#10;bWxQSwECLQAUAAYACAAAACEAG8hGceAAAAANAQAADwAAAAAAAAAAAAAAAABCBAAAZHJzL2Rvd25y&#10;ZXYueG1sUEsFBgAAAAAEAAQA8wAAAE8FAAAAAA==&#10;" fillcolor="gray" stroked="f">
          <w10:wrap anchorx="page" anchory="pag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708F9A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A991"/>
    <w:multiLevelType w:val="multilevel"/>
    <w:tmpl w:val="4EE6509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nsid w:val="00A99411"/>
    <w:multiLevelType w:val="multilevel"/>
    <w:tmpl w:val="3774AC1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nsid w:val="1C940A04"/>
    <w:multiLevelType w:val="hybridMultilevel"/>
    <w:tmpl w:val="E6CA8C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880CBB"/>
    <w:multiLevelType w:val="hybridMultilevel"/>
    <w:tmpl w:val="C1E866E8"/>
    <w:lvl w:ilvl="0" w:tplc="5B148EDE">
      <w:start w:val="1"/>
      <w:numFmt w:val="decimal"/>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7B3132"/>
    <w:multiLevelType w:val="hybridMultilevel"/>
    <w:tmpl w:val="0316C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45058"/>
    <o:shapelayout v:ext="edit">
      <o:idmap v:ext="edit" data="1"/>
    </o:shapelayout>
  </w:hdrShapeDefaults>
  <w:footnotePr>
    <w:footnote w:id="-1"/>
    <w:footnote w:id="0"/>
  </w:footnotePr>
  <w:endnotePr>
    <w:endnote w:id="-1"/>
    <w:endnote w:id="0"/>
  </w:endnotePr>
  <w:compat/>
  <w:rsids>
    <w:rsidRoot w:val="003C02F3"/>
    <w:rsid w:val="00003080"/>
    <w:rsid w:val="000051CE"/>
    <w:rsid w:val="000053E2"/>
    <w:rsid w:val="00006431"/>
    <w:rsid w:val="00006C14"/>
    <w:rsid w:val="00014DDF"/>
    <w:rsid w:val="0001586A"/>
    <w:rsid w:val="00017A42"/>
    <w:rsid w:val="00017C42"/>
    <w:rsid w:val="00026A8A"/>
    <w:rsid w:val="0002704E"/>
    <w:rsid w:val="000318F0"/>
    <w:rsid w:val="00033FD2"/>
    <w:rsid w:val="000347A5"/>
    <w:rsid w:val="000358FA"/>
    <w:rsid w:val="0003628A"/>
    <w:rsid w:val="00036349"/>
    <w:rsid w:val="00037183"/>
    <w:rsid w:val="00040C29"/>
    <w:rsid w:val="00043CA9"/>
    <w:rsid w:val="00046BEC"/>
    <w:rsid w:val="00047721"/>
    <w:rsid w:val="00051608"/>
    <w:rsid w:val="0005496F"/>
    <w:rsid w:val="00057206"/>
    <w:rsid w:val="00057FAA"/>
    <w:rsid w:val="00060A68"/>
    <w:rsid w:val="00062EB4"/>
    <w:rsid w:val="00063C24"/>
    <w:rsid w:val="00065814"/>
    <w:rsid w:val="000727C8"/>
    <w:rsid w:val="00074B8C"/>
    <w:rsid w:val="00082528"/>
    <w:rsid w:val="00083E09"/>
    <w:rsid w:val="00086CC9"/>
    <w:rsid w:val="000878DF"/>
    <w:rsid w:val="0009447D"/>
    <w:rsid w:val="00095E02"/>
    <w:rsid w:val="000A22A7"/>
    <w:rsid w:val="000B32E2"/>
    <w:rsid w:val="000B3A39"/>
    <w:rsid w:val="000B4374"/>
    <w:rsid w:val="000B7F5F"/>
    <w:rsid w:val="000C31D0"/>
    <w:rsid w:val="000C33E6"/>
    <w:rsid w:val="000C3C1D"/>
    <w:rsid w:val="000C77E7"/>
    <w:rsid w:val="000C7F19"/>
    <w:rsid w:val="000D16D6"/>
    <w:rsid w:val="000D1C94"/>
    <w:rsid w:val="000D75C9"/>
    <w:rsid w:val="000E7C77"/>
    <w:rsid w:val="000F32C0"/>
    <w:rsid w:val="000F4896"/>
    <w:rsid w:val="00104EC9"/>
    <w:rsid w:val="00107F32"/>
    <w:rsid w:val="00111923"/>
    <w:rsid w:val="00113472"/>
    <w:rsid w:val="00113D11"/>
    <w:rsid w:val="001215D7"/>
    <w:rsid w:val="001217A3"/>
    <w:rsid w:val="001269B4"/>
    <w:rsid w:val="001279BA"/>
    <w:rsid w:val="00132DA6"/>
    <w:rsid w:val="001338E6"/>
    <w:rsid w:val="0014065D"/>
    <w:rsid w:val="00145954"/>
    <w:rsid w:val="0015014B"/>
    <w:rsid w:val="00154C00"/>
    <w:rsid w:val="00155FCC"/>
    <w:rsid w:val="00156292"/>
    <w:rsid w:val="0015750F"/>
    <w:rsid w:val="00160ABC"/>
    <w:rsid w:val="001610F8"/>
    <w:rsid w:val="00162280"/>
    <w:rsid w:val="001629E8"/>
    <w:rsid w:val="001668CB"/>
    <w:rsid w:val="00176E87"/>
    <w:rsid w:val="001810A3"/>
    <w:rsid w:val="00181DD4"/>
    <w:rsid w:val="001869F4"/>
    <w:rsid w:val="0019105C"/>
    <w:rsid w:val="00191852"/>
    <w:rsid w:val="001963E1"/>
    <w:rsid w:val="001A2886"/>
    <w:rsid w:val="001A3903"/>
    <w:rsid w:val="001A4357"/>
    <w:rsid w:val="001A5330"/>
    <w:rsid w:val="001A6F64"/>
    <w:rsid w:val="001B09B2"/>
    <w:rsid w:val="001B2B27"/>
    <w:rsid w:val="001B6423"/>
    <w:rsid w:val="001B65B5"/>
    <w:rsid w:val="001B6A84"/>
    <w:rsid w:val="001C4108"/>
    <w:rsid w:val="001C5CF1"/>
    <w:rsid w:val="001C77E3"/>
    <w:rsid w:val="001D4872"/>
    <w:rsid w:val="001E12E1"/>
    <w:rsid w:val="001F0238"/>
    <w:rsid w:val="001F07AA"/>
    <w:rsid w:val="001F395B"/>
    <w:rsid w:val="001F7131"/>
    <w:rsid w:val="0020034D"/>
    <w:rsid w:val="00202B87"/>
    <w:rsid w:val="00205303"/>
    <w:rsid w:val="002058B7"/>
    <w:rsid w:val="00210307"/>
    <w:rsid w:val="00210A4B"/>
    <w:rsid w:val="00211B0B"/>
    <w:rsid w:val="002127A4"/>
    <w:rsid w:val="00217149"/>
    <w:rsid w:val="002200D9"/>
    <w:rsid w:val="00220C46"/>
    <w:rsid w:val="00223B83"/>
    <w:rsid w:val="00226B0F"/>
    <w:rsid w:val="00231582"/>
    <w:rsid w:val="00232ECE"/>
    <w:rsid w:val="002401E7"/>
    <w:rsid w:val="002406DF"/>
    <w:rsid w:val="002438C5"/>
    <w:rsid w:val="00244865"/>
    <w:rsid w:val="00245AB0"/>
    <w:rsid w:val="00247CF2"/>
    <w:rsid w:val="00255D08"/>
    <w:rsid w:val="00271801"/>
    <w:rsid w:val="0027280B"/>
    <w:rsid w:val="00272B1C"/>
    <w:rsid w:val="0027345D"/>
    <w:rsid w:val="00273E48"/>
    <w:rsid w:val="00280A4B"/>
    <w:rsid w:val="00280E60"/>
    <w:rsid w:val="00281ABA"/>
    <w:rsid w:val="0028220A"/>
    <w:rsid w:val="00286291"/>
    <w:rsid w:val="00287C9D"/>
    <w:rsid w:val="002A0580"/>
    <w:rsid w:val="002A5DC9"/>
    <w:rsid w:val="002B09CF"/>
    <w:rsid w:val="002B51C6"/>
    <w:rsid w:val="002B75CD"/>
    <w:rsid w:val="002C373F"/>
    <w:rsid w:val="002C3E53"/>
    <w:rsid w:val="002C4A80"/>
    <w:rsid w:val="002D1B9C"/>
    <w:rsid w:val="002D2CE1"/>
    <w:rsid w:val="002D5C85"/>
    <w:rsid w:val="002E21B4"/>
    <w:rsid w:val="002E3396"/>
    <w:rsid w:val="002E5531"/>
    <w:rsid w:val="002F2D26"/>
    <w:rsid w:val="003020A6"/>
    <w:rsid w:val="00304838"/>
    <w:rsid w:val="00307408"/>
    <w:rsid w:val="00310BB8"/>
    <w:rsid w:val="00311C46"/>
    <w:rsid w:val="00313E4C"/>
    <w:rsid w:val="00317B96"/>
    <w:rsid w:val="0032686A"/>
    <w:rsid w:val="00331696"/>
    <w:rsid w:val="0033276D"/>
    <w:rsid w:val="00332DAB"/>
    <w:rsid w:val="00333975"/>
    <w:rsid w:val="0033747C"/>
    <w:rsid w:val="00345390"/>
    <w:rsid w:val="00345FAD"/>
    <w:rsid w:val="00347F21"/>
    <w:rsid w:val="003509D7"/>
    <w:rsid w:val="00351295"/>
    <w:rsid w:val="00352263"/>
    <w:rsid w:val="00357CE5"/>
    <w:rsid w:val="00361BBB"/>
    <w:rsid w:val="003631F8"/>
    <w:rsid w:val="003666A8"/>
    <w:rsid w:val="003701A1"/>
    <w:rsid w:val="00373B3A"/>
    <w:rsid w:val="003742AD"/>
    <w:rsid w:val="003745CC"/>
    <w:rsid w:val="003763BB"/>
    <w:rsid w:val="003779D3"/>
    <w:rsid w:val="00377F7E"/>
    <w:rsid w:val="00380745"/>
    <w:rsid w:val="00380C2F"/>
    <w:rsid w:val="00383D79"/>
    <w:rsid w:val="00385FC8"/>
    <w:rsid w:val="00387D17"/>
    <w:rsid w:val="00392815"/>
    <w:rsid w:val="003952FD"/>
    <w:rsid w:val="00397DFA"/>
    <w:rsid w:val="003A1727"/>
    <w:rsid w:val="003A197C"/>
    <w:rsid w:val="003A2914"/>
    <w:rsid w:val="003B03B5"/>
    <w:rsid w:val="003B4F43"/>
    <w:rsid w:val="003B5EE4"/>
    <w:rsid w:val="003B60E5"/>
    <w:rsid w:val="003B631F"/>
    <w:rsid w:val="003B7C7F"/>
    <w:rsid w:val="003C02F3"/>
    <w:rsid w:val="003C3189"/>
    <w:rsid w:val="003C4035"/>
    <w:rsid w:val="003C7350"/>
    <w:rsid w:val="003D1322"/>
    <w:rsid w:val="003D1BA9"/>
    <w:rsid w:val="003D4CDB"/>
    <w:rsid w:val="003D4D5F"/>
    <w:rsid w:val="003E2DD8"/>
    <w:rsid w:val="003E3FB6"/>
    <w:rsid w:val="003E5379"/>
    <w:rsid w:val="003F14E9"/>
    <w:rsid w:val="003F565A"/>
    <w:rsid w:val="00402026"/>
    <w:rsid w:val="00402D59"/>
    <w:rsid w:val="004041AB"/>
    <w:rsid w:val="00411389"/>
    <w:rsid w:val="0041322D"/>
    <w:rsid w:val="004178BD"/>
    <w:rsid w:val="00417F00"/>
    <w:rsid w:val="00421CFB"/>
    <w:rsid w:val="00427075"/>
    <w:rsid w:val="00427877"/>
    <w:rsid w:val="004309F6"/>
    <w:rsid w:val="00431FC7"/>
    <w:rsid w:val="00433502"/>
    <w:rsid w:val="00437362"/>
    <w:rsid w:val="00451A70"/>
    <w:rsid w:val="004576B6"/>
    <w:rsid w:val="004619D3"/>
    <w:rsid w:val="00462DAD"/>
    <w:rsid w:val="00462F9C"/>
    <w:rsid w:val="0046327A"/>
    <w:rsid w:val="00464B45"/>
    <w:rsid w:val="00467691"/>
    <w:rsid w:val="004679EE"/>
    <w:rsid w:val="00481465"/>
    <w:rsid w:val="00482658"/>
    <w:rsid w:val="0048292B"/>
    <w:rsid w:val="00482FA2"/>
    <w:rsid w:val="00484ABC"/>
    <w:rsid w:val="00491174"/>
    <w:rsid w:val="00491F5B"/>
    <w:rsid w:val="00492A6A"/>
    <w:rsid w:val="00493AE3"/>
    <w:rsid w:val="00493EBC"/>
    <w:rsid w:val="00494EF5"/>
    <w:rsid w:val="004A11F4"/>
    <w:rsid w:val="004A3DF4"/>
    <w:rsid w:val="004A40CE"/>
    <w:rsid w:val="004B0571"/>
    <w:rsid w:val="004B4AD3"/>
    <w:rsid w:val="004C1F83"/>
    <w:rsid w:val="004C28FB"/>
    <w:rsid w:val="004C31B8"/>
    <w:rsid w:val="004D21DD"/>
    <w:rsid w:val="004D6D58"/>
    <w:rsid w:val="004D792D"/>
    <w:rsid w:val="004E275F"/>
    <w:rsid w:val="004E297D"/>
    <w:rsid w:val="004E6767"/>
    <w:rsid w:val="004E76D2"/>
    <w:rsid w:val="004E7A59"/>
    <w:rsid w:val="004E7F2A"/>
    <w:rsid w:val="004F3451"/>
    <w:rsid w:val="004F3928"/>
    <w:rsid w:val="004F63B5"/>
    <w:rsid w:val="00503837"/>
    <w:rsid w:val="00504F2B"/>
    <w:rsid w:val="00505015"/>
    <w:rsid w:val="0050506C"/>
    <w:rsid w:val="0050645F"/>
    <w:rsid w:val="0050712F"/>
    <w:rsid w:val="00507E76"/>
    <w:rsid w:val="00534B8B"/>
    <w:rsid w:val="00544604"/>
    <w:rsid w:val="00544E90"/>
    <w:rsid w:val="0056227E"/>
    <w:rsid w:val="005624B8"/>
    <w:rsid w:val="00563FCC"/>
    <w:rsid w:val="0056787F"/>
    <w:rsid w:val="00572BA3"/>
    <w:rsid w:val="00573492"/>
    <w:rsid w:val="005800B0"/>
    <w:rsid w:val="00581E8A"/>
    <w:rsid w:val="00582BF8"/>
    <w:rsid w:val="00582FB8"/>
    <w:rsid w:val="005859D3"/>
    <w:rsid w:val="005910A3"/>
    <w:rsid w:val="00593F77"/>
    <w:rsid w:val="00594E48"/>
    <w:rsid w:val="00595436"/>
    <w:rsid w:val="005A02B3"/>
    <w:rsid w:val="005A0BF6"/>
    <w:rsid w:val="005A22EC"/>
    <w:rsid w:val="005B2F30"/>
    <w:rsid w:val="005B521B"/>
    <w:rsid w:val="005C0A57"/>
    <w:rsid w:val="005C122F"/>
    <w:rsid w:val="005C421E"/>
    <w:rsid w:val="005C48A9"/>
    <w:rsid w:val="005C7663"/>
    <w:rsid w:val="005D25EC"/>
    <w:rsid w:val="005D28D3"/>
    <w:rsid w:val="005D71C2"/>
    <w:rsid w:val="005E0B0D"/>
    <w:rsid w:val="005E12D2"/>
    <w:rsid w:val="005E2E98"/>
    <w:rsid w:val="005E36BA"/>
    <w:rsid w:val="005E6BDE"/>
    <w:rsid w:val="005F2DB3"/>
    <w:rsid w:val="005F39A8"/>
    <w:rsid w:val="005F56C7"/>
    <w:rsid w:val="005F6B83"/>
    <w:rsid w:val="006021FF"/>
    <w:rsid w:val="00611E4B"/>
    <w:rsid w:val="00612B46"/>
    <w:rsid w:val="0062070B"/>
    <w:rsid w:val="00621123"/>
    <w:rsid w:val="00624847"/>
    <w:rsid w:val="00626812"/>
    <w:rsid w:val="00630AE3"/>
    <w:rsid w:val="0063111F"/>
    <w:rsid w:val="00632B65"/>
    <w:rsid w:val="006346B7"/>
    <w:rsid w:val="00635E40"/>
    <w:rsid w:val="006425FF"/>
    <w:rsid w:val="00650426"/>
    <w:rsid w:val="00652504"/>
    <w:rsid w:val="00655FDB"/>
    <w:rsid w:val="00657EBB"/>
    <w:rsid w:val="00660512"/>
    <w:rsid w:val="00661C52"/>
    <w:rsid w:val="006626B3"/>
    <w:rsid w:val="0066277A"/>
    <w:rsid w:val="006635B6"/>
    <w:rsid w:val="0067105C"/>
    <w:rsid w:val="00671C4B"/>
    <w:rsid w:val="00671ECC"/>
    <w:rsid w:val="0067230A"/>
    <w:rsid w:val="00673A46"/>
    <w:rsid w:val="0067756E"/>
    <w:rsid w:val="006825B3"/>
    <w:rsid w:val="0068335D"/>
    <w:rsid w:val="00693AEB"/>
    <w:rsid w:val="0069505C"/>
    <w:rsid w:val="006963D2"/>
    <w:rsid w:val="00696647"/>
    <w:rsid w:val="006971DC"/>
    <w:rsid w:val="006A2870"/>
    <w:rsid w:val="006A50C7"/>
    <w:rsid w:val="006A78FF"/>
    <w:rsid w:val="006B0214"/>
    <w:rsid w:val="006B2993"/>
    <w:rsid w:val="006B53CC"/>
    <w:rsid w:val="006B5EF2"/>
    <w:rsid w:val="006B6787"/>
    <w:rsid w:val="006C52EB"/>
    <w:rsid w:val="006C5992"/>
    <w:rsid w:val="006C5B1D"/>
    <w:rsid w:val="006D2F54"/>
    <w:rsid w:val="006D5BEC"/>
    <w:rsid w:val="006D5D0B"/>
    <w:rsid w:val="006D729E"/>
    <w:rsid w:val="006E1487"/>
    <w:rsid w:val="006E3A93"/>
    <w:rsid w:val="006E42A6"/>
    <w:rsid w:val="006E4FA9"/>
    <w:rsid w:val="006E6E74"/>
    <w:rsid w:val="006E770C"/>
    <w:rsid w:val="006F0DB6"/>
    <w:rsid w:val="006F4ED6"/>
    <w:rsid w:val="006F5812"/>
    <w:rsid w:val="006F5B36"/>
    <w:rsid w:val="006F6BEA"/>
    <w:rsid w:val="006F6DB6"/>
    <w:rsid w:val="00700932"/>
    <w:rsid w:val="00702CC6"/>
    <w:rsid w:val="007061F1"/>
    <w:rsid w:val="007107E6"/>
    <w:rsid w:val="00711F3D"/>
    <w:rsid w:val="0071318B"/>
    <w:rsid w:val="00720071"/>
    <w:rsid w:val="00720BC9"/>
    <w:rsid w:val="00726BFC"/>
    <w:rsid w:val="0073009B"/>
    <w:rsid w:val="0073035F"/>
    <w:rsid w:val="007412C6"/>
    <w:rsid w:val="007416EE"/>
    <w:rsid w:val="0074253F"/>
    <w:rsid w:val="007441B1"/>
    <w:rsid w:val="00744BA3"/>
    <w:rsid w:val="00755646"/>
    <w:rsid w:val="00755D4F"/>
    <w:rsid w:val="00757176"/>
    <w:rsid w:val="00761983"/>
    <w:rsid w:val="00763F57"/>
    <w:rsid w:val="00767055"/>
    <w:rsid w:val="007703C7"/>
    <w:rsid w:val="00776208"/>
    <w:rsid w:val="007765E5"/>
    <w:rsid w:val="00777C3E"/>
    <w:rsid w:val="00782348"/>
    <w:rsid w:val="00783C23"/>
    <w:rsid w:val="007862FC"/>
    <w:rsid w:val="0079172C"/>
    <w:rsid w:val="0079242B"/>
    <w:rsid w:val="007940A1"/>
    <w:rsid w:val="007B2596"/>
    <w:rsid w:val="007B71DD"/>
    <w:rsid w:val="007C1CA8"/>
    <w:rsid w:val="007C57CC"/>
    <w:rsid w:val="007C6022"/>
    <w:rsid w:val="007D0F95"/>
    <w:rsid w:val="007D1221"/>
    <w:rsid w:val="007D2BFB"/>
    <w:rsid w:val="007D5B9B"/>
    <w:rsid w:val="007D7411"/>
    <w:rsid w:val="007E1699"/>
    <w:rsid w:val="007E3282"/>
    <w:rsid w:val="007E479A"/>
    <w:rsid w:val="007F13B4"/>
    <w:rsid w:val="007F4AE2"/>
    <w:rsid w:val="007F4CB6"/>
    <w:rsid w:val="00806353"/>
    <w:rsid w:val="008149D9"/>
    <w:rsid w:val="00822389"/>
    <w:rsid w:val="00826674"/>
    <w:rsid w:val="00827980"/>
    <w:rsid w:val="0084169E"/>
    <w:rsid w:val="00841D37"/>
    <w:rsid w:val="00842AA1"/>
    <w:rsid w:val="00843E13"/>
    <w:rsid w:val="0084647B"/>
    <w:rsid w:val="00863436"/>
    <w:rsid w:val="008674F0"/>
    <w:rsid w:val="008752F2"/>
    <w:rsid w:val="008833F1"/>
    <w:rsid w:val="0088438E"/>
    <w:rsid w:val="008A0A48"/>
    <w:rsid w:val="008A10C7"/>
    <w:rsid w:val="008A15FE"/>
    <w:rsid w:val="008A76C1"/>
    <w:rsid w:val="008B0F71"/>
    <w:rsid w:val="008B0F8D"/>
    <w:rsid w:val="008B18EA"/>
    <w:rsid w:val="008C34EB"/>
    <w:rsid w:val="008D2BF6"/>
    <w:rsid w:val="008D69C8"/>
    <w:rsid w:val="008E157E"/>
    <w:rsid w:val="008E3BF1"/>
    <w:rsid w:val="008E4C0F"/>
    <w:rsid w:val="008E5C29"/>
    <w:rsid w:val="008E65CD"/>
    <w:rsid w:val="008E7A32"/>
    <w:rsid w:val="008F54D9"/>
    <w:rsid w:val="00900F7F"/>
    <w:rsid w:val="00901ACB"/>
    <w:rsid w:val="00906ADB"/>
    <w:rsid w:val="00906F5F"/>
    <w:rsid w:val="009102E6"/>
    <w:rsid w:val="009136D6"/>
    <w:rsid w:val="00915B44"/>
    <w:rsid w:val="00915FAB"/>
    <w:rsid w:val="009166B6"/>
    <w:rsid w:val="00916E90"/>
    <w:rsid w:val="00922382"/>
    <w:rsid w:val="00926EF4"/>
    <w:rsid w:val="0092761D"/>
    <w:rsid w:val="00931923"/>
    <w:rsid w:val="00936D4F"/>
    <w:rsid w:val="00941BFB"/>
    <w:rsid w:val="00941EC5"/>
    <w:rsid w:val="009444E4"/>
    <w:rsid w:val="00952D3E"/>
    <w:rsid w:val="00952DC6"/>
    <w:rsid w:val="00954659"/>
    <w:rsid w:val="00957748"/>
    <w:rsid w:val="0097332D"/>
    <w:rsid w:val="00986B8A"/>
    <w:rsid w:val="00996251"/>
    <w:rsid w:val="009973DD"/>
    <w:rsid w:val="009A0D50"/>
    <w:rsid w:val="009A12B1"/>
    <w:rsid w:val="009A38C9"/>
    <w:rsid w:val="009A44A0"/>
    <w:rsid w:val="009A60E4"/>
    <w:rsid w:val="009C78AE"/>
    <w:rsid w:val="009D14D1"/>
    <w:rsid w:val="009D29A6"/>
    <w:rsid w:val="009D619C"/>
    <w:rsid w:val="009E0796"/>
    <w:rsid w:val="009E50E0"/>
    <w:rsid w:val="009E6694"/>
    <w:rsid w:val="009F272D"/>
    <w:rsid w:val="009F4A87"/>
    <w:rsid w:val="009F5807"/>
    <w:rsid w:val="009F64D9"/>
    <w:rsid w:val="009F68AF"/>
    <w:rsid w:val="009F7A03"/>
    <w:rsid w:val="00A00708"/>
    <w:rsid w:val="00A047E1"/>
    <w:rsid w:val="00A0521D"/>
    <w:rsid w:val="00A078A5"/>
    <w:rsid w:val="00A07CA7"/>
    <w:rsid w:val="00A143DC"/>
    <w:rsid w:val="00A1794C"/>
    <w:rsid w:val="00A246A9"/>
    <w:rsid w:val="00A25824"/>
    <w:rsid w:val="00A25E3C"/>
    <w:rsid w:val="00A303C0"/>
    <w:rsid w:val="00A346BB"/>
    <w:rsid w:val="00A3593F"/>
    <w:rsid w:val="00A36194"/>
    <w:rsid w:val="00A36A10"/>
    <w:rsid w:val="00A36E7C"/>
    <w:rsid w:val="00A40B2B"/>
    <w:rsid w:val="00A4269B"/>
    <w:rsid w:val="00A42FEE"/>
    <w:rsid w:val="00A44DBE"/>
    <w:rsid w:val="00A45116"/>
    <w:rsid w:val="00A509BD"/>
    <w:rsid w:val="00A52C54"/>
    <w:rsid w:val="00A53D43"/>
    <w:rsid w:val="00A574FD"/>
    <w:rsid w:val="00A64E9F"/>
    <w:rsid w:val="00A72ECC"/>
    <w:rsid w:val="00A72F73"/>
    <w:rsid w:val="00A747B7"/>
    <w:rsid w:val="00A752D7"/>
    <w:rsid w:val="00A77056"/>
    <w:rsid w:val="00A82652"/>
    <w:rsid w:val="00A869C5"/>
    <w:rsid w:val="00A874BB"/>
    <w:rsid w:val="00A91087"/>
    <w:rsid w:val="00A91F91"/>
    <w:rsid w:val="00AA6C99"/>
    <w:rsid w:val="00AB045D"/>
    <w:rsid w:val="00AB3687"/>
    <w:rsid w:val="00AC2FB1"/>
    <w:rsid w:val="00AC5A1F"/>
    <w:rsid w:val="00AC5FBF"/>
    <w:rsid w:val="00AC6933"/>
    <w:rsid w:val="00AC6F91"/>
    <w:rsid w:val="00AD079D"/>
    <w:rsid w:val="00AD205C"/>
    <w:rsid w:val="00AE6959"/>
    <w:rsid w:val="00AF59C2"/>
    <w:rsid w:val="00AF619F"/>
    <w:rsid w:val="00AF6B0F"/>
    <w:rsid w:val="00B00BEA"/>
    <w:rsid w:val="00B01746"/>
    <w:rsid w:val="00B05E0F"/>
    <w:rsid w:val="00B07179"/>
    <w:rsid w:val="00B07537"/>
    <w:rsid w:val="00B107A9"/>
    <w:rsid w:val="00B110C8"/>
    <w:rsid w:val="00B20ED3"/>
    <w:rsid w:val="00B21608"/>
    <w:rsid w:val="00B21679"/>
    <w:rsid w:val="00B23312"/>
    <w:rsid w:val="00B31847"/>
    <w:rsid w:val="00B33AFD"/>
    <w:rsid w:val="00B341F1"/>
    <w:rsid w:val="00B34257"/>
    <w:rsid w:val="00B442F4"/>
    <w:rsid w:val="00B4595E"/>
    <w:rsid w:val="00B47425"/>
    <w:rsid w:val="00B54893"/>
    <w:rsid w:val="00B56CB4"/>
    <w:rsid w:val="00B571FC"/>
    <w:rsid w:val="00B70B8B"/>
    <w:rsid w:val="00B71E4B"/>
    <w:rsid w:val="00B75D51"/>
    <w:rsid w:val="00B76DB1"/>
    <w:rsid w:val="00B80050"/>
    <w:rsid w:val="00B95411"/>
    <w:rsid w:val="00B95F68"/>
    <w:rsid w:val="00B97877"/>
    <w:rsid w:val="00BB21A8"/>
    <w:rsid w:val="00BB4EC2"/>
    <w:rsid w:val="00BB5F43"/>
    <w:rsid w:val="00BC3912"/>
    <w:rsid w:val="00BC5950"/>
    <w:rsid w:val="00BC654A"/>
    <w:rsid w:val="00BD1DB0"/>
    <w:rsid w:val="00BD20EA"/>
    <w:rsid w:val="00BD5E07"/>
    <w:rsid w:val="00BD7237"/>
    <w:rsid w:val="00BD77A9"/>
    <w:rsid w:val="00BE36CB"/>
    <w:rsid w:val="00BE55D0"/>
    <w:rsid w:val="00BF33A5"/>
    <w:rsid w:val="00BF3D98"/>
    <w:rsid w:val="00C01842"/>
    <w:rsid w:val="00C04FA9"/>
    <w:rsid w:val="00C050B1"/>
    <w:rsid w:val="00C06174"/>
    <w:rsid w:val="00C0773D"/>
    <w:rsid w:val="00C12C05"/>
    <w:rsid w:val="00C1330E"/>
    <w:rsid w:val="00C147E3"/>
    <w:rsid w:val="00C15601"/>
    <w:rsid w:val="00C2244F"/>
    <w:rsid w:val="00C274B6"/>
    <w:rsid w:val="00C27AC1"/>
    <w:rsid w:val="00C314F7"/>
    <w:rsid w:val="00C36494"/>
    <w:rsid w:val="00C37E99"/>
    <w:rsid w:val="00C40515"/>
    <w:rsid w:val="00C41913"/>
    <w:rsid w:val="00C46AC5"/>
    <w:rsid w:val="00C46CD1"/>
    <w:rsid w:val="00C46E47"/>
    <w:rsid w:val="00C47574"/>
    <w:rsid w:val="00C47777"/>
    <w:rsid w:val="00C50E8B"/>
    <w:rsid w:val="00C51018"/>
    <w:rsid w:val="00C532A9"/>
    <w:rsid w:val="00C538E1"/>
    <w:rsid w:val="00C54550"/>
    <w:rsid w:val="00C54822"/>
    <w:rsid w:val="00C57259"/>
    <w:rsid w:val="00C62E4D"/>
    <w:rsid w:val="00C63C12"/>
    <w:rsid w:val="00C63F36"/>
    <w:rsid w:val="00C64789"/>
    <w:rsid w:val="00C64C8B"/>
    <w:rsid w:val="00C666F3"/>
    <w:rsid w:val="00C72866"/>
    <w:rsid w:val="00C740EA"/>
    <w:rsid w:val="00C744DC"/>
    <w:rsid w:val="00C76ABF"/>
    <w:rsid w:val="00C82600"/>
    <w:rsid w:val="00C84012"/>
    <w:rsid w:val="00C85357"/>
    <w:rsid w:val="00C865A0"/>
    <w:rsid w:val="00C87343"/>
    <w:rsid w:val="00C95B91"/>
    <w:rsid w:val="00CA392A"/>
    <w:rsid w:val="00CA49FE"/>
    <w:rsid w:val="00CB051C"/>
    <w:rsid w:val="00CB2CC7"/>
    <w:rsid w:val="00CC1C5E"/>
    <w:rsid w:val="00CC6E2F"/>
    <w:rsid w:val="00CD20A6"/>
    <w:rsid w:val="00CD2B8C"/>
    <w:rsid w:val="00CD4DB2"/>
    <w:rsid w:val="00CD61D2"/>
    <w:rsid w:val="00CD65E7"/>
    <w:rsid w:val="00CE3F34"/>
    <w:rsid w:val="00CE5391"/>
    <w:rsid w:val="00CE7022"/>
    <w:rsid w:val="00CE7214"/>
    <w:rsid w:val="00CF60EF"/>
    <w:rsid w:val="00CF7F8F"/>
    <w:rsid w:val="00D06751"/>
    <w:rsid w:val="00D07920"/>
    <w:rsid w:val="00D14BD6"/>
    <w:rsid w:val="00D159CF"/>
    <w:rsid w:val="00D15D21"/>
    <w:rsid w:val="00D2038A"/>
    <w:rsid w:val="00D203D1"/>
    <w:rsid w:val="00D216BC"/>
    <w:rsid w:val="00D23FBD"/>
    <w:rsid w:val="00D25EF7"/>
    <w:rsid w:val="00D302AE"/>
    <w:rsid w:val="00D3185D"/>
    <w:rsid w:val="00D34027"/>
    <w:rsid w:val="00D35948"/>
    <w:rsid w:val="00D4038D"/>
    <w:rsid w:val="00D46F12"/>
    <w:rsid w:val="00D54AB7"/>
    <w:rsid w:val="00D5657D"/>
    <w:rsid w:val="00D60295"/>
    <w:rsid w:val="00D71FD5"/>
    <w:rsid w:val="00D73F3D"/>
    <w:rsid w:val="00D74AEF"/>
    <w:rsid w:val="00D904AC"/>
    <w:rsid w:val="00D91C89"/>
    <w:rsid w:val="00D93050"/>
    <w:rsid w:val="00DA689F"/>
    <w:rsid w:val="00DB4C9D"/>
    <w:rsid w:val="00DB6ED6"/>
    <w:rsid w:val="00DC1C1E"/>
    <w:rsid w:val="00DD1413"/>
    <w:rsid w:val="00DD653A"/>
    <w:rsid w:val="00DD6B92"/>
    <w:rsid w:val="00DD6CDC"/>
    <w:rsid w:val="00DD6DD5"/>
    <w:rsid w:val="00DD7BA7"/>
    <w:rsid w:val="00DE3AD7"/>
    <w:rsid w:val="00DF15CB"/>
    <w:rsid w:val="00DF7B6B"/>
    <w:rsid w:val="00E00F0F"/>
    <w:rsid w:val="00E02523"/>
    <w:rsid w:val="00E072CE"/>
    <w:rsid w:val="00E10EDE"/>
    <w:rsid w:val="00E13CEE"/>
    <w:rsid w:val="00E15446"/>
    <w:rsid w:val="00E15E67"/>
    <w:rsid w:val="00E17663"/>
    <w:rsid w:val="00E27FBB"/>
    <w:rsid w:val="00E31262"/>
    <w:rsid w:val="00E367F6"/>
    <w:rsid w:val="00E37D1C"/>
    <w:rsid w:val="00E43996"/>
    <w:rsid w:val="00E441F6"/>
    <w:rsid w:val="00E508B6"/>
    <w:rsid w:val="00E508E3"/>
    <w:rsid w:val="00E53ED3"/>
    <w:rsid w:val="00E56948"/>
    <w:rsid w:val="00E56CA9"/>
    <w:rsid w:val="00E57317"/>
    <w:rsid w:val="00E649E4"/>
    <w:rsid w:val="00E66A97"/>
    <w:rsid w:val="00E6715E"/>
    <w:rsid w:val="00E67AD5"/>
    <w:rsid w:val="00E708A3"/>
    <w:rsid w:val="00E70DC5"/>
    <w:rsid w:val="00E7181B"/>
    <w:rsid w:val="00E72DA3"/>
    <w:rsid w:val="00E73F8A"/>
    <w:rsid w:val="00E75C71"/>
    <w:rsid w:val="00E769AF"/>
    <w:rsid w:val="00E773CB"/>
    <w:rsid w:val="00E77B30"/>
    <w:rsid w:val="00E83400"/>
    <w:rsid w:val="00E90222"/>
    <w:rsid w:val="00E955C7"/>
    <w:rsid w:val="00EA1E75"/>
    <w:rsid w:val="00EA4129"/>
    <w:rsid w:val="00EA6E2F"/>
    <w:rsid w:val="00EA6FD7"/>
    <w:rsid w:val="00EB4F9B"/>
    <w:rsid w:val="00EB5405"/>
    <w:rsid w:val="00EC20E9"/>
    <w:rsid w:val="00EC340B"/>
    <w:rsid w:val="00ED1CA4"/>
    <w:rsid w:val="00ED29AB"/>
    <w:rsid w:val="00EE08CF"/>
    <w:rsid w:val="00EE22BE"/>
    <w:rsid w:val="00EE26DC"/>
    <w:rsid w:val="00F04898"/>
    <w:rsid w:val="00F07E61"/>
    <w:rsid w:val="00F12D8D"/>
    <w:rsid w:val="00F17030"/>
    <w:rsid w:val="00F228D8"/>
    <w:rsid w:val="00F256EB"/>
    <w:rsid w:val="00F304DE"/>
    <w:rsid w:val="00F31121"/>
    <w:rsid w:val="00F312DC"/>
    <w:rsid w:val="00F379FF"/>
    <w:rsid w:val="00F37EB9"/>
    <w:rsid w:val="00F415A5"/>
    <w:rsid w:val="00F451CF"/>
    <w:rsid w:val="00F501A7"/>
    <w:rsid w:val="00F50221"/>
    <w:rsid w:val="00F549A6"/>
    <w:rsid w:val="00F55E25"/>
    <w:rsid w:val="00F56613"/>
    <w:rsid w:val="00F6390B"/>
    <w:rsid w:val="00F642D9"/>
    <w:rsid w:val="00F715E6"/>
    <w:rsid w:val="00F720B5"/>
    <w:rsid w:val="00F763B9"/>
    <w:rsid w:val="00F767F6"/>
    <w:rsid w:val="00F76D2A"/>
    <w:rsid w:val="00F86E37"/>
    <w:rsid w:val="00F9175C"/>
    <w:rsid w:val="00F96304"/>
    <w:rsid w:val="00FB55BA"/>
    <w:rsid w:val="00FC1C39"/>
    <w:rsid w:val="00FC7DA7"/>
    <w:rsid w:val="00FD07D5"/>
    <w:rsid w:val="00FD0FF8"/>
    <w:rsid w:val="00FD37AD"/>
    <w:rsid w:val="00FD5766"/>
    <w:rsid w:val="00FD72E2"/>
    <w:rsid w:val="00FD7B8E"/>
    <w:rsid w:val="00FE1C1A"/>
    <w:rsid w:val="00FE57B7"/>
    <w:rsid w:val="00FF0408"/>
    <w:rsid w:val="00FF0858"/>
    <w:rsid w:val="00FF0926"/>
    <w:rsid w:val="00FF13B1"/>
    <w:rsid w:val="00FF2E23"/>
    <w:rsid w:val="00FF34ED"/>
    <w:rsid w:val="00FF641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0" w:qFormat="1"/>
    <w:lsdException w:name="table of figures" w:qFormat="1"/>
    <w:lsdException w:name="page number" w:uiPriority="0"/>
    <w:lsdException w:name="table of authorities" w:qFormat="1"/>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Date" w:uiPriority="0" w:qFormat="1"/>
    <w:lsdException w:name="Body Text 2" w:uiPriority="0"/>
    <w:lsdException w:name="Body Text 3" w:uiPriority="0" w:qFormat="1"/>
    <w:lsdException w:name="Body Text Indent 2" w:uiPriority="0" w:qFormat="1"/>
    <w:lsdException w:name="Body Text Indent 3" w:uiPriority="0" w:qFormat="1"/>
    <w:lsdException w:name="Block Text" w:uiPriority="0" w:qFormat="1"/>
    <w:lsdException w:name="Hyperlink" w:uiPriority="0" w:qFormat="1"/>
    <w:lsdException w:name="FollowedHyperlink" w:qFormat="1"/>
    <w:lsdException w:name="Strong" w:semiHidden="0" w:uiPriority="22" w:unhideWhenUsed="0" w:qFormat="1"/>
    <w:lsdException w:name="Emphasis" w:semiHidden="0" w:uiPriority="0" w:unhideWhenUsed="0" w:qFormat="1"/>
    <w:lsdException w:name="HTML Top of Form" w:uiPriority="0"/>
    <w:lsdException w:name="HTML Bottom of Form" w:uiPriority="0"/>
    <w:lsdException w:name="Normal (Web)" w:qFormat="1"/>
    <w:lsdException w:name="annotation subject" w:uiPriority="0"/>
    <w:lsdException w:name="Balloon Text" w:qFormat="1"/>
    <w:lsdException w:name="Table Grid" w:semiHidden="0" w:uiPriority="0" w:unhideWhenUsed="0" w:qFormat="1"/>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0" w:unhideWhenUsed="0" w:qFormat="1"/>
    <w:lsdException w:name="Dark List Accent 2" w:semiHidden="0" w:uiPriority="61" w:unhideWhenUsed="0" w:qFormat="1"/>
    <w:lsdException w:name="Colorful Shading Accent 2" w:semiHidden="0" w:uiPriority="62" w:unhideWhenUsed="0" w:qFormat="1"/>
    <w:lsdException w:name="Colorful List Accent 2" w:semiHidden="0" w:uiPriority="63" w:unhideWhenUsed="0" w:qFormat="1"/>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7" w:unhideWhenUsed="0" w:qFormat="1"/>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71" w:unhideWhenUsed="0" w:qFormat="1"/>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62" w:unhideWhenUsed="0" w:qFormat="1"/>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7" w:unhideWhenUsed="0" w:qFormat="1"/>
    <w:lsdException w:name="Medium Shading 1 Accent 5" w:semiHidden="0" w:uiPriority="68" w:unhideWhenUsed="0" w:qFormat="1"/>
    <w:lsdException w:name="Medium Shading 2 Accent 5" w:semiHidden="0" w:uiPriority="69" w:unhideWhenUsed="0" w:qFormat="1"/>
    <w:lsdException w:name="Medium List 1 Accent 5" w:semiHidden="0" w:uiPriority="70" w:unhideWhenUsed="0" w:qFormat="1"/>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62" w:unhideWhenUsed="0" w:qFormat="1"/>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uiPriority="39" w:qFormat="1"/>
  </w:latentStyles>
  <w:style w:type="paragraph" w:default="1" w:styleId="Normal">
    <w:name w:val="Normal"/>
    <w:qFormat/>
    <w:rsid w:val="003C02F3"/>
    <w:pPr>
      <w:spacing w:line="256" w:lineRule="auto"/>
    </w:pPr>
    <w:rPr>
      <w:rFonts w:ascii="Calibri" w:eastAsia="Calibri" w:hAnsi="Calibri" w:cs="Times New Roman"/>
      <w:kern w:val="0"/>
    </w:rPr>
  </w:style>
  <w:style w:type="paragraph" w:styleId="Heading1">
    <w:name w:val="heading 1"/>
    <w:basedOn w:val="Normal"/>
    <w:next w:val="Normal"/>
    <w:link w:val="Heading1Char"/>
    <w:uiPriority w:val="9"/>
    <w:qFormat/>
    <w:rsid w:val="007F4AE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DA689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autoRedefine/>
    <w:uiPriority w:val="9"/>
    <w:unhideWhenUsed/>
    <w:qFormat/>
    <w:rsid w:val="00DA689F"/>
    <w:pPr>
      <w:keepNext/>
      <w:keepLines/>
      <w:spacing w:before="120" w:beforeAutospacing="1" w:after="120" w:line="240" w:lineRule="auto"/>
      <w:jc w:val="both"/>
      <w:outlineLvl w:val="2"/>
    </w:pPr>
    <w:rPr>
      <w:rFonts w:ascii="Times New Roman" w:eastAsia="Times New Roman" w:hAnsi="Times New Roman"/>
      <w:b/>
      <w:sz w:val="24"/>
      <w:szCs w:val="24"/>
    </w:rPr>
  </w:style>
  <w:style w:type="paragraph" w:styleId="Heading4">
    <w:name w:val="heading 4"/>
    <w:basedOn w:val="Normal"/>
    <w:next w:val="Normal"/>
    <w:link w:val="Heading4Char"/>
    <w:unhideWhenUsed/>
    <w:qFormat/>
    <w:rsid w:val="00DA689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nhideWhenUsed/>
    <w:qFormat/>
    <w:rsid w:val="00DA689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DA689F"/>
    <w:pPr>
      <w:keepNext/>
      <w:keepLines/>
      <w:spacing w:before="40" w:beforeAutospacing="1" w:after="240" w:line="240" w:lineRule="auto"/>
      <w:jc w:val="both"/>
      <w:outlineLvl w:val="5"/>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nhideWhenUsed/>
    <w:qFormat/>
    <w:rsid w:val="00DA689F"/>
    <w:pPr>
      <w:keepNext/>
      <w:keepLines/>
      <w:spacing w:before="40" w:beforeAutospacing="1" w:after="240" w:line="240" w:lineRule="auto"/>
      <w:jc w:val="both"/>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nhideWhenUsed/>
    <w:qFormat/>
    <w:rsid w:val="00DA689F"/>
    <w:pPr>
      <w:keepNext/>
      <w:keepLines/>
      <w:spacing w:before="40" w:beforeAutospacing="1" w:after="240" w:line="240" w:lineRule="auto"/>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DA689F"/>
    <w:pPr>
      <w:keepNext/>
      <w:keepLines/>
      <w:spacing w:before="40" w:beforeAutospacing="1" w:after="240" w:line="240"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qFormat/>
    <w:rsid w:val="005F56C7"/>
    <w:rPr>
      <w:color w:val="0563C1" w:themeColor="hyperlink"/>
      <w:u w:val="single"/>
    </w:rPr>
  </w:style>
  <w:style w:type="character" w:customStyle="1" w:styleId="Heading1Char">
    <w:name w:val="Heading 1 Char"/>
    <w:basedOn w:val="DefaultParagraphFont"/>
    <w:link w:val="Heading1"/>
    <w:uiPriority w:val="9"/>
    <w:qFormat/>
    <w:rsid w:val="007F4AE2"/>
    <w:rPr>
      <w:rFonts w:asciiTheme="majorHAnsi" w:eastAsiaTheme="majorEastAsia" w:hAnsiTheme="majorHAnsi" w:cstheme="majorBidi"/>
      <w:color w:val="2F5496" w:themeColor="accent1" w:themeShade="BF"/>
      <w:kern w:val="0"/>
      <w:sz w:val="32"/>
      <w:szCs w:val="32"/>
    </w:rPr>
  </w:style>
  <w:style w:type="paragraph" w:styleId="Bibliography">
    <w:name w:val="Bibliography"/>
    <w:basedOn w:val="Normal"/>
    <w:next w:val="Normal"/>
    <w:uiPriority w:val="37"/>
    <w:unhideWhenUsed/>
    <w:qFormat/>
    <w:rsid w:val="007F4AE2"/>
  </w:style>
  <w:style w:type="character" w:customStyle="1" w:styleId="UnresolvedMention1">
    <w:name w:val="Unresolved Mention1"/>
    <w:basedOn w:val="DefaultParagraphFont"/>
    <w:uiPriority w:val="99"/>
    <w:unhideWhenUsed/>
    <w:rsid w:val="00026A8A"/>
    <w:rPr>
      <w:color w:val="605E5C"/>
      <w:shd w:val="clear" w:color="auto" w:fill="E1DFDD"/>
    </w:rPr>
  </w:style>
  <w:style w:type="paragraph" w:styleId="ListParagraph">
    <w:name w:val="List Paragraph"/>
    <w:aliases w:val="BPList"/>
    <w:basedOn w:val="Normal"/>
    <w:link w:val="ListParagraphChar"/>
    <w:uiPriority w:val="34"/>
    <w:qFormat/>
    <w:rsid w:val="004A3DF4"/>
    <w:pPr>
      <w:spacing w:after="200" w:line="276" w:lineRule="auto"/>
      <w:ind w:left="720"/>
      <w:contextualSpacing/>
    </w:pPr>
    <w:rPr>
      <w:rFonts w:asciiTheme="minorHAnsi" w:eastAsiaTheme="minorHAnsi" w:hAnsiTheme="minorHAnsi" w:cstheme="minorBidi"/>
      <w:lang w:val="pt-PT"/>
    </w:rPr>
  </w:style>
  <w:style w:type="paragraph" w:styleId="HTMLPreformatted">
    <w:name w:val="HTML Preformatted"/>
    <w:basedOn w:val="Normal"/>
    <w:link w:val="HTMLPreformattedChar"/>
    <w:uiPriority w:val="99"/>
    <w:semiHidden/>
    <w:unhideWhenUsed/>
    <w:rsid w:val="002127A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27A4"/>
    <w:rPr>
      <w:rFonts w:ascii="Consolas" w:eastAsia="Calibri" w:hAnsi="Consolas" w:cs="Times New Roman"/>
      <w:kern w:val="0"/>
      <w:sz w:val="20"/>
      <w:szCs w:val="20"/>
    </w:rPr>
  </w:style>
  <w:style w:type="paragraph" w:customStyle="1" w:styleId="pdq2pgselectionanchorcontainer">
    <w:name w:val="pdq2pg_selectionanchorcontainer"/>
    <w:basedOn w:val="Normal"/>
    <w:rsid w:val="003D4D5F"/>
    <w:pPr>
      <w:spacing w:before="100" w:beforeAutospacing="1" w:after="100" w:afterAutospacing="1" w:line="240" w:lineRule="auto"/>
    </w:pPr>
    <w:rPr>
      <w:rFonts w:ascii="Times New Roman" w:eastAsia="Times New Roman" w:hAnsi="Times New Roman"/>
      <w:sz w:val="24"/>
      <w:szCs w:val="24"/>
      <w:lang w:val="pt-PT" w:eastAsia="pt-PT"/>
    </w:rPr>
  </w:style>
  <w:style w:type="paragraph" w:styleId="NormalWeb">
    <w:name w:val="Normal (Web)"/>
    <w:basedOn w:val="Normal"/>
    <w:uiPriority w:val="99"/>
    <w:unhideWhenUsed/>
    <w:qFormat/>
    <w:rsid w:val="003D4D5F"/>
    <w:pPr>
      <w:spacing w:before="100" w:beforeAutospacing="1" w:after="100" w:afterAutospacing="1" w:line="240" w:lineRule="auto"/>
    </w:pPr>
    <w:rPr>
      <w:rFonts w:ascii="Times New Roman" w:eastAsia="Times New Roman" w:hAnsi="Times New Roman"/>
      <w:sz w:val="24"/>
      <w:szCs w:val="24"/>
      <w:lang w:val="pt-PT" w:eastAsia="pt-PT"/>
    </w:rPr>
  </w:style>
  <w:style w:type="character" w:styleId="Strong">
    <w:name w:val="Strong"/>
    <w:basedOn w:val="DefaultParagraphFont"/>
    <w:uiPriority w:val="22"/>
    <w:qFormat/>
    <w:rsid w:val="00D15D21"/>
    <w:rPr>
      <w:b/>
      <w:bCs/>
    </w:rPr>
  </w:style>
  <w:style w:type="paragraph" w:styleId="FootnoteText">
    <w:name w:val="footnote text"/>
    <w:basedOn w:val="Normal"/>
    <w:link w:val="FootnoteTextChar"/>
    <w:uiPriority w:val="99"/>
    <w:unhideWhenUsed/>
    <w:qFormat/>
    <w:rsid w:val="00D15D21"/>
    <w:pPr>
      <w:spacing w:after="200" w:line="276" w:lineRule="auto"/>
    </w:pPr>
    <w:rPr>
      <w:rFonts w:eastAsia="SimSun"/>
      <w:sz w:val="20"/>
      <w:szCs w:val="20"/>
      <w:lang w:eastAsia="zh-CN"/>
    </w:rPr>
  </w:style>
  <w:style w:type="character" w:customStyle="1" w:styleId="FootnoteTextChar">
    <w:name w:val="Footnote Text Char"/>
    <w:basedOn w:val="DefaultParagraphFont"/>
    <w:link w:val="FootnoteText"/>
    <w:uiPriority w:val="99"/>
    <w:rsid w:val="00D15D21"/>
    <w:rPr>
      <w:rFonts w:ascii="Calibri" w:eastAsia="SimSun" w:hAnsi="Calibri" w:cs="Times New Roman"/>
      <w:kern w:val="0"/>
      <w:sz w:val="20"/>
      <w:szCs w:val="20"/>
      <w:lang w:eastAsia="zh-CN"/>
    </w:rPr>
  </w:style>
  <w:style w:type="character" w:styleId="FootnoteReference">
    <w:name w:val="footnote reference"/>
    <w:uiPriority w:val="99"/>
    <w:unhideWhenUsed/>
    <w:rsid w:val="00D15D21"/>
    <w:rPr>
      <w:vertAlign w:val="superscript"/>
    </w:rPr>
  </w:style>
  <w:style w:type="character" w:styleId="Emphasis">
    <w:name w:val="Emphasis"/>
    <w:basedOn w:val="DefaultParagraphFont"/>
    <w:qFormat/>
    <w:rsid w:val="00FD0FF8"/>
    <w:rPr>
      <w:i/>
      <w:iCs/>
    </w:rPr>
  </w:style>
  <w:style w:type="paragraph" w:styleId="Header">
    <w:name w:val="header"/>
    <w:basedOn w:val="Normal"/>
    <w:link w:val="HeaderChar"/>
    <w:uiPriority w:val="99"/>
    <w:unhideWhenUsed/>
    <w:qFormat/>
    <w:rsid w:val="00C666F3"/>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C666F3"/>
    <w:rPr>
      <w:rFonts w:ascii="Calibri" w:eastAsia="Calibri" w:hAnsi="Calibri" w:cs="Times New Roman"/>
      <w:kern w:val="0"/>
    </w:rPr>
  </w:style>
  <w:style w:type="paragraph" w:styleId="Footer">
    <w:name w:val="footer"/>
    <w:basedOn w:val="Normal"/>
    <w:link w:val="FooterChar"/>
    <w:uiPriority w:val="99"/>
    <w:unhideWhenUsed/>
    <w:qFormat/>
    <w:rsid w:val="00C666F3"/>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C666F3"/>
    <w:rPr>
      <w:rFonts w:ascii="Calibri" w:eastAsia="Calibri" w:hAnsi="Calibri" w:cs="Times New Roman"/>
      <w:kern w:val="0"/>
    </w:rPr>
  </w:style>
  <w:style w:type="character" w:customStyle="1" w:styleId="UnresolvedMention">
    <w:name w:val="Unresolved Mention"/>
    <w:basedOn w:val="DefaultParagraphFont"/>
    <w:uiPriority w:val="99"/>
    <w:semiHidden/>
    <w:unhideWhenUsed/>
    <w:rsid w:val="00C666F3"/>
    <w:rPr>
      <w:color w:val="605E5C"/>
      <w:shd w:val="clear" w:color="auto" w:fill="E1DFDD"/>
    </w:rPr>
  </w:style>
  <w:style w:type="character" w:customStyle="1" w:styleId="Hyperlink1">
    <w:name w:val="Hyperlink1"/>
    <w:uiPriority w:val="99"/>
    <w:qFormat/>
    <w:rsid w:val="00C666F3"/>
    <w:rPr>
      <w:color w:val="0563C1"/>
      <w:u w:val="single"/>
    </w:rPr>
  </w:style>
  <w:style w:type="paragraph" w:styleId="NoSpacing">
    <w:name w:val="No Spacing"/>
    <w:aliases w:val="Yadel,body"/>
    <w:link w:val="NoSpacingChar"/>
    <w:uiPriority w:val="1"/>
    <w:qFormat/>
    <w:rsid w:val="00906ADB"/>
    <w:pPr>
      <w:bidi/>
      <w:spacing w:after="0" w:line="240" w:lineRule="auto"/>
    </w:pPr>
  </w:style>
  <w:style w:type="character" w:customStyle="1" w:styleId="Heading2Char">
    <w:name w:val="Heading 2 Char"/>
    <w:basedOn w:val="DefaultParagraphFont"/>
    <w:link w:val="Heading2"/>
    <w:qFormat/>
    <w:rsid w:val="00DA689F"/>
    <w:rPr>
      <w:rFonts w:asciiTheme="majorHAnsi" w:eastAsiaTheme="majorEastAsia" w:hAnsiTheme="majorHAnsi" w:cstheme="majorBidi"/>
      <w:b/>
      <w:bCs/>
      <w:color w:val="4472C4" w:themeColor="accent1"/>
      <w:kern w:val="0"/>
      <w:sz w:val="26"/>
      <w:szCs w:val="26"/>
    </w:rPr>
  </w:style>
  <w:style w:type="character" w:customStyle="1" w:styleId="Heading4Char">
    <w:name w:val="Heading 4 Char"/>
    <w:basedOn w:val="DefaultParagraphFont"/>
    <w:link w:val="Heading4"/>
    <w:qFormat/>
    <w:rsid w:val="00DA689F"/>
    <w:rPr>
      <w:rFonts w:asciiTheme="majorHAnsi" w:eastAsiaTheme="majorEastAsia" w:hAnsiTheme="majorHAnsi" w:cstheme="majorBidi"/>
      <w:b/>
      <w:bCs/>
      <w:i/>
      <w:iCs/>
      <w:color w:val="4472C4" w:themeColor="accent1"/>
      <w:kern w:val="0"/>
    </w:rPr>
  </w:style>
  <w:style w:type="character" w:customStyle="1" w:styleId="Heading5Char">
    <w:name w:val="Heading 5 Char"/>
    <w:basedOn w:val="DefaultParagraphFont"/>
    <w:link w:val="Heading5"/>
    <w:rsid w:val="00DA689F"/>
    <w:rPr>
      <w:rFonts w:asciiTheme="majorHAnsi" w:eastAsiaTheme="majorEastAsia" w:hAnsiTheme="majorHAnsi" w:cstheme="majorBidi"/>
      <w:color w:val="1F3763" w:themeColor="accent1" w:themeShade="7F"/>
      <w:kern w:val="0"/>
    </w:rPr>
  </w:style>
  <w:style w:type="character" w:customStyle="1" w:styleId="Heading3Char">
    <w:name w:val="Heading 3 Char"/>
    <w:basedOn w:val="DefaultParagraphFont"/>
    <w:link w:val="Heading3"/>
    <w:uiPriority w:val="9"/>
    <w:qFormat/>
    <w:rsid w:val="00DA689F"/>
    <w:rPr>
      <w:rFonts w:ascii="Times New Roman" w:eastAsia="Times New Roman" w:hAnsi="Times New Roman" w:cs="Times New Roman"/>
      <w:b/>
      <w:kern w:val="0"/>
      <w:sz w:val="24"/>
      <w:szCs w:val="24"/>
    </w:rPr>
  </w:style>
  <w:style w:type="character" w:customStyle="1" w:styleId="Heading6Char">
    <w:name w:val="Heading 6 Char"/>
    <w:basedOn w:val="DefaultParagraphFont"/>
    <w:link w:val="Heading6"/>
    <w:uiPriority w:val="9"/>
    <w:qFormat/>
    <w:rsid w:val="00DA689F"/>
    <w:rPr>
      <w:rFonts w:asciiTheme="majorHAnsi" w:eastAsiaTheme="majorEastAsia" w:hAnsiTheme="majorHAnsi" w:cstheme="majorBidi"/>
      <w:color w:val="1F3763" w:themeColor="accent1" w:themeShade="7F"/>
      <w:kern w:val="0"/>
      <w:sz w:val="24"/>
      <w:szCs w:val="24"/>
    </w:rPr>
  </w:style>
  <w:style w:type="character" w:customStyle="1" w:styleId="Heading7Char">
    <w:name w:val="Heading 7 Char"/>
    <w:basedOn w:val="DefaultParagraphFont"/>
    <w:link w:val="Heading7"/>
    <w:rsid w:val="00DA689F"/>
    <w:rPr>
      <w:rFonts w:asciiTheme="majorHAnsi" w:eastAsiaTheme="majorEastAsia" w:hAnsiTheme="majorHAnsi" w:cstheme="majorBidi"/>
      <w:i/>
      <w:iCs/>
      <w:color w:val="1F3763" w:themeColor="accent1" w:themeShade="7F"/>
      <w:kern w:val="0"/>
      <w:sz w:val="24"/>
      <w:szCs w:val="24"/>
    </w:rPr>
  </w:style>
  <w:style w:type="character" w:customStyle="1" w:styleId="Heading8Char">
    <w:name w:val="Heading 8 Char"/>
    <w:basedOn w:val="DefaultParagraphFont"/>
    <w:link w:val="Heading8"/>
    <w:rsid w:val="00DA689F"/>
    <w:rPr>
      <w:rFonts w:asciiTheme="majorHAnsi" w:eastAsiaTheme="majorEastAsia" w:hAnsiTheme="majorHAnsi" w:cstheme="majorBidi"/>
      <w:color w:val="272727" w:themeColor="text1" w:themeTint="D8"/>
      <w:kern w:val="0"/>
      <w:sz w:val="21"/>
      <w:szCs w:val="21"/>
    </w:rPr>
  </w:style>
  <w:style w:type="character" w:customStyle="1" w:styleId="Heading9Char">
    <w:name w:val="Heading 9 Char"/>
    <w:basedOn w:val="DefaultParagraphFont"/>
    <w:link w:val="Heading9"/>
    <w:rsid w:val="00DA689F"/>
    <w:rPr>
      <w:rFonts w:asciiTheme="majorHAnsi" w:eastAsiaTheme="majorEastAsia" w:hAnsiTheme="majorHAnsi" w:cstheme="majorBidi"/>
      <w:i/>
      <w:iCs/>
      <w:color w:val="272727" w:themeColor="text1" w:themeTint="D8"/>
      <w:kern w:val="0"/>
      <w:sz w:val="21"/>
      <w:szCs w:val="21"/>
    </w:rPr>
  </w:style>
  <w:style w:type="paragraph" w:customStyle="1" w:styleId="Default">
    <w:name w:val="Default"/>
    <w:qFormat/>
    <w:rsid w:val="00DA689F"/>
    <w:pPr>
      <w:autoSpaceDE w:val="0"/>
      <w:autoSpaceDN w:val="0"/>
      <w:adjustRightInd w:val="0"/>
      <w:spacing w:before="100" w:beforeAutospacing="1" w:after="240" w:line="240" w:lineRule="auto"/>
      <w:jc w:val="both"/>
    </w:pPr>
    <w:rPr>
      <w:rFonts w:ascii="Dutch801 Rm BT" w:hAnsi="Dutch801 Rm BT" w:cs="Dutch801 Rm BT"/>
      <w:color w:val="000000"/>
      <w:kern w:val="0"/>
      <w:sz w:val="24"/>
      <w:szCs w:val="24"/>
    </w:rPr>
  </w:style>
  <w:style w:type="paragraph" w:styleId="BodyText">
    <w:name w:val="Body Text"/>
    <w:basedOn w:val="Normal"/>
    <w:link w:val="BodyTextChar"/>
    <w:uiPriority w:val="1"/>
    <w:qFormat/>
    <w:rsid w:val="00DA689F"/>
    <w:pPr>
      <w:widowControl w:val="0"/>
      <w:autoSpaceDE w:val="0"/>
      <w:autoSpaceDN w:val="0"/>
      <w:spacing w:before="100" w:beforeAutospacing="1" w:after="240" w:line="240" w:lineRule="auto"/>
      <w:jc w:val="both"/>
    </w:pPr>
    <w:rPr>
      <w:rFonts w:ascii="Times New Roman" w:eastAsia="Times New Roman" w:hAnsi="Times New Roman"/>
      <w:sz w:val="24"/>
      <w:szCs w:val="24"/>
    </w:rPr>
  </w:style>
  <w:style w:type="character" w:customStyle="1" w:styleId="BodyTextChar">
    <w:name w:val="Body Text Char"/>
    <w:basedOn w:val="DefaultParagraphFont"/>
    <w:link w:val="BodyText"/>
    <w:uiPriority w:val="1"/>
    <w:qFormat/>
    <w:rsid w:val="00DA689F"/>
    <w:rPr>
      <w:rFonts w:ascii="Times New Roman" w:eastAsia="Times New Roman" w:hAnsi="Times New Roman" w:cs="Times New Roman"/>
      <w:kern w:val="0"/>
      <w:sz w:val="24"/>
      <w:szCs w:val="24"/>
    </w:rPr>
  </w:style>
  <w:style w:type="character" w:styleId="PlaceholderText">
    <w:name w:val="Placeholder Text"/>
    <w:basedOn w:val="DefaultParagraphFont"/>
    <w:uiPriority w:val="99"/>
    <w:qFormat/>
    <w:rsid w:val="00DA689F"/>
    <w:rPr>
      <w:color w:val="808080"/>
    </w:rPr>
  </w:style>
  <w:style w:type="character" w:customStyle="1" w:styleId="ref-lnk">
    <w:name w:val="ref-lnk"/>
    <w:basedOn w:val="DefaultParagraphFont"/>
    <w:rsid w:val="00DA689F"/>
  </w:style>
  <w:style w:type="character" w:customStyle="1" w:styleId="off-screen">
    <w:name w:val="off-screen"/>
    <w:basedOn w:val="DefaultParagraphFont"/>
    <w:rsid w:val="00DA689F"/>
  </w:style>
  <w:style w:type="paragraph" w:styleId="BalloonText">
    <w:name w:val="Balloon Text"/>
    <w:basedOn w:val="Normal"/>
    <w:link w:val="BalloonTextChar"/>
    <w:uiPriority w:val="99"/>
    <w:unhideWhenUsed/>
    <w:qFormat/>
    <w:rsid w:val="00DA689F"/>
    <w:pPr>
      <w:spacing w:before="100" w:beforeAutospacing="1" w:after="240" w:line="240" w:lineRule="auto"/>
      <w:jc w:val="both"/>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qFormat/>
    <w:rsid w:val="00DA689F"/>
    <w:rPr>
      <w:rFonts w:ascii="Segoe UI" w:hAnsi="Segoe UI" w:cs="Segoe UI"/>
      <w:kern w:val="0"/>
      <w:sz w:val="18"/>
      <w:szCs w:val="18"/>
    </w:rPr>
  </w:style>
  <w:style w:type="table" w:styleId="TableGrid">
    <w:name w:val="Table Grid"/>
    <w:basedOn w:val="TableNormal"/>
    <w:qFormat/>
    <w:rsid w:val="00DA689F"/>
    <w:pPr>
      <w:spacing w:before="100" w:beforeAutospacing="1" w:after="240" w:line="240" w:lineRule="auto"/>
      <w:jc w:val="both"/>
    </w:pPr>
    <w:rPr>
      <w:kern w:val="0"/>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heading">
    <w:name w:val="a_heading"/>
    <w:basedOn w:val="DefaultParagraphFont"/>
    <w:rsid w:val="00DA689F"/>
  </w:style>
  <w:style w:type="character" w:customStyle="1" w:styleId="bheading">
    <w:name w:val="b_heading"/>
    <w:basedOn w:val="DefaultParagraphFont"/>
    <w:rsid w:val="00DA689F"/>
  </w:style>
  <w:style w:type="character" w:customStyle="1" w:styleId="italic">
    <w:name w:val="italic"/>
    <w:basedOn w:val="DefaultParagraphFont"/>
    <w:rsid w:val="00DA689F"/>
  </w:style>
  <w:style w:type="character" w:customStyle="1" w:styleId="supref">
    <w:name w:val="sup_ref"/>
    <w:basedOn w:val="DefaultParagraphFont"/>
    <w:rsid w:val="00DA689F"/>
  </w:style>
  <w:style w:type="paragraph" w:customStyle="1" w:styleId="otherpara">
    <w:name w:val="otherpara"/>
    <w:basedOn w:val="Normal"/>
    <w:rsid w:val="00DA689F"/>
    <w:pPr>
      <w:spacing w:before="100" w:beforeAutospacing="1" w:after="100" w:afterAutospacing="1" w:line="240" w:lineRule="auto"/>
      <w:jc w:val="both"/>
    </w:pPr>
    <w:rPr>
      <w:rFonts w:ascii="Times New Roman" w:eastAsia="Times New Roman" w:hAnsi="Times New Roman"/>
      <w:sz w:val="24"/>
      <w:szCs w:val="24"/>
    </w:rPr>
  </w:style>
  <w:style w:type="character" w:customStyle="1" w:styleId="figtext">
    <w:name w:val="figtext"/>
    <w:basedOn w:val="DefaultParagraphFont"/>
    <w:rsid w:val="00DA689F"/>
  </w:style>
  <w:style w:type="character" w:customStyle="1" w:styleId="xref">
    <w:name w:val="xref"/>
    <w:basedOn w:val="DefaultParagraphFont"/>
    <w:rsid w:val="00DA689F"/>
  </w:style>
  <w:style w:type="character" w:customStyle="1" w:styleId="sec-title">
    <w:name w:val="sec-title"/>
    <w:basedOn w:val="DefaultParagraphFont"/>
    <w:rsid w:val="00DA689F"/>
  </w:style>
  <w:style w:type="table" w:customStyle="1" w:styleId="PlainTable1">
    <w:name w:val="Plain Table 1"/>
    <w:basedOn w:val="TableNormal"/>
    <w:uiPriority w:val="41"/>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Light">
    <w:name w:val="Grid Table Light"/>
    <w:basedOn w:val="TableNormal"/>
    <w:uiPriority w:val="40"/>
    <w:rsid w:val="00DA689F"/>
    <w:pPr>
      <w:spacing w:before="100" w:beforeAutospacing="1" w:after="240" w:line="240" w:lineRule="auto"/>
      <w:jc w:val="both"/>
    </w:pPr>
    <w:rPr>
      <w:kern w:val="0"/>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3">
    <w:name w:val="Plain Table 3"/>
    <w:basedOn w:val="TableNormal"/>
    <w:uiPriority w:val="43"/>
    <w:rsid w:val="00DA689F"/>
    <w:pPr>
      <w:spacing w:before="100" w:beforeAutospacing="1" w:after="240" w:line="240" w:lineRule="auto"/>
      <w:jc w:val="both"/>
    </w:pPr>
    <w:rPr>
      <w:kern w:val="0"/>
      <w:sz w:val="24"/>
      <w:szCs w:val="24"/>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gkelc">
    <w:name w:val="hgkelc"/>
    <w:basedOn w:val="DefaultParagraphFont"/>
    <w:rsid w:val="00DA689F"/>
  </w:style>
  <w:style w:type="paragraph" w:styleId="Caption">
    <w:name w:val="caption"/>
    <w:aliases w:val="Figures,Caption Table,Hinh Bang,Caption +13 pt,Caption hinh,Caption Char1 Char,Caption Char Char Char,Caption Char1 Char Char1 Char,Caption Char Char Char Char1 Char,Caption Char1 Char Char Char Char,Caption Char Char Char Char Char Cha"/>
    <w:basedOn w:val="Normal"/>
    <w:next w:val="Normal"/>
    <w:link w:val="CaptionChar"/>
    <w:qFormat/>
    <w:rsid w:val="00DA689F"/>
    <w:pPr>
      <w:spacing w:before="100" w:beforeAutospacing="1" w:after="200" w:line="240" w:lineRule="auto"/>
      <w:jc w:val="both"/>
    </w:pPr>
    <w:rPr>
      <w:rFonts w:ascii="Times New Roman" w:hAnsi="Times New Roman"/>
      <w:b/>
      <w:iCs/>
      <w:sz w:val="24"/>
      <w:szCs w:val="24"/>
    </w:rPr>
  </w:style>
  <w:style w:type="character" w:customStyle="1" w:styleId="anchor-text">
    <w:name w:val="anchor-text"/>
    <w:basedOn w:val="DefaultParagraphFont"/>
    <w:rsid w:val="00DA689F"/>
  </w:style>
  <w:style w:type="character" w:customStyle="1" w:styleId="label">
    <w:name w:val="label"/>
    <w:basedOn w:val="DefaultParagraphFont"/>
    <w:rsid w:val="00DA689F"/>
  </w:style>
  <w:style w:type="character" w:customStyle="1" w:styleId="mathjaxsvg">
    <w:name w:val="mathjax_svg"/>
    <w:basedOn w:val="DefaultParagraphFont"/>
    <w:rsid w:val="00DA689F"/>
  </w:style>
  <w:style w:type="character" w:customStyle="1" w:styleId="mjxassistivemathml">
    <w:name w:val="mjx_assistive_mathml"/>
    <w:basedOn w:val="DefaultParagraphFont"/>
    <w:qFormat/>
    <w:rsid w:val="00DA689F"/>
  </w:style>
  <w:style w:type="table" w:customStyle="1" w:styleId="GridTable1Light">
    <w:name w:val="Grid Table 1 Light"/>
    <w:basedOn w:val="TableNormal"/>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DA689F"/>
    <w:pPr>
      <w:spacing w:beforeAutospacing="1" w:after="240"/>
      <w:jc w:val="both"/>
      <w:outlineLvl w:val="9"/>
    </w:pPr>
  </w:style>
  <w:style w:type="paragraph" w:styleId="TOC1">
    <w:name w:val="toc 1"/>
    <w:basedOn w:val="Normal"/>
    <w:next w:val="Normal"/>
    <w:autoRedefine/>
    <w:uiPriority w:val="39"/>
    <w:unhideWhenUsed/>
    <w:qFormat/>
    <w:rsid w:val="00DA689F"/>
    <w:pPr>
      <w:spacing w:before="360" w:beforeAutospacing="1" w:after="240" w:line="240" w:lineRule="auto"/>
      <w:jc w:val="both"/>
    </w:pPr>
    <w:rPr>
      <w:rFonts w:asciiTheme="majorHAnsi" w:eastAsiaTheme="minorHAnsi" w:hAnsiTheme="majorHAnsi" w:cstheme="majorHAnsi"/>
      <w:b/>
      <w:bCs/>
      <w:caps/>
      <w:sz w:val="24"/>
      <w:szCs w:val="24"/>
    </w:rPr>
  </w:style>
  <w:style w:type="paragraph" w:styleId="TOC2">
    <w:name w:val="toc 2"/>
    <w:basedOn w:val="Normal"/>
    <w:next w:val="Normal"/>
    <w:autoRedefine/>
    <w:uiPriority w:val="39"/>
    <w:unhideWhenUsed/>
    <w:qFormat/>
    <w:rsid w:val="00DA689F"/>
    <w:pPr>
      <w:spacing w:before="240" w:beforeAutospacing="1" w:after="240" w:line="240" w:lineRule="auto"/>
      <w:jc w:val="both"/>
    </w:pPr>
    <w:rPr>
      <w:rFonts w:asciiTheme="minorHAnsi" w:eastAsiaTheme="minorHAnsi" w:hAnsiTheme="minorHAnsi" w:cstheme="minorHAnsi"/>
      <w:b/>
      <w:bCs/>
      <w:sz w:val="20"/>
      <w:szCs w:val="20"/>
    </w:rPr>
  </w:style>
  <w:style w:type="paragraph" w:styleId="TOC3">
    <w:name w:val="toc 3"/>
    <w:basedOn w:val="Normal"/>
    <w:next w:val="Normal"/>
    <w:autoRedefine/>
    <w:uiPriority w:val="39"/>
    <w:unhideWhenUsed/>
    <w:qFormat/>
    <w:rsid w:val="00DA689F"/>
    <w:pPr>
      <w:spacing w:before="100" w:beforeAutospacing="1" w:after="240" w:line="240" w:lineRule="auto"/>
      <w:ind w:left="240"/>
      <w:jc w:val="both"/>
    </w:pPr>
    <w:rPr>
      <w:rFonts w:asciiTheme="minorHAnsi" w:eastAsiaTheme="minorHAnsi" w:hAnsiTheme="minorHAnsi" w:cstheme="minorHAnsi"/>
      <w:sz w:val="20"/>
      <w:szCs w:val="20"/>
    </w:rPr>
  </w:style>
  <w:style w:type="paragraph" w:styleId="TableofFigures">
    <w:name w:val="table of figures"/>
    <w:basedOn w:val="Normal"/>
    <w:next w:val="Normal"/>
    <w:autoRedefine/>
    <w:uiPriority w:val="99"/>
    <w:unhideWhenUsed/>
    <w:qFormat/>
    <w:rsid w:val="00DA689F"/>
    <w:pPr>
      <w:spacing w:before="100" w:beforeAutospacing="1" w:after="120" w:line="240" w:lineRule="auto"/>
      <w:jc w:val="both"/>
    </w:pPr>
    <w:rPr>
      <w:rFonts w:ascii="Times New Roman" w:eastAsiaTheme="minorHAnsi" w:hAnsi="Times New Roman" w:cstheme="minorBidi"/>
      <w:sz w:val="24"/>
      <w:szCs w:val="24"/>
    </w:rPr>
  </w:style>
  <w:style w:type="paragraph" w:styleId="Title">
    <w:name w:val="Title"/>
    <w:basedOn w:val="Normal"/>
    <w:next w:val="Normal"/>
    <w:link w:val="TitleChar"/>
    <w:qFormat/>
    <w:rsid w:val="00DA689F"/>
    <w:pPr>
      <w:spacing w:before="100" w:beforeAutospacing="1" w:after="240" w:line="240" w:lineRule="auto"/>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qFormat/>
    <w:rsid w:val="00DA689F"/>
    <w:rPr>
      <w:rFonts w:asciiTheme="majorHAnsi" w:eastAsiaTheme="majorEastAsia" w:hAnsiTheme="majorHAnsi" w:cstheme="majorBidi"/>
      <w:spacing w:val="-10"/>
      <w:kern w:val="28"/>
      <w:sz w:val="56"/>
      <w:szCs w:val="56"/>
    </w:rPr>
  </w:style>
  <w:style w:type="character" w:customStyle="1" w:styleId="A2">
    <w:name w:val="A2"/>
    <w:uiPriority w:val="99"/>
    <w:rsid w:val="00DA689F"/>
    <w:rPr>
      <w:rFonts w:cs="Minion Pro"/>
      <w:color w:val="000000"/>
      <w:sz w:val="18"/>
      <w:szCs w:val="18"/>
    </w:rPr>
  </w:style>
  <w:style w:type="table" w:customStyle="1" w:styleId="GridTable1LightAccent3">
    <w:name w:val="Grid Table 1 Light Accent 3"/>
    <w:basedOn w:val="TableNormal"/>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DA689F"/>
  </w:style>
  <w:style w:type="table" w:customStyle="1" w:styleId="TableGrid1">
    <w:name w:val="Table Grid1"/>
    <w:basedOn w:val="TableNormal"/>
    <w:next w:val="TableGrid"/>
    <w:uiPriority w:val="39"/>
    <w:qFormat/>
    <w:rsid w:val="00DA689F"/>
    <w:pPr>
      <w:spacing w:before="100" w:beforeAutospacing="1" w:after="240" w:line="240" w:lineRule="auto"/>
      <w:jc w:val="both"/>
    </w:pPr>
    <w:rPr>
      <w:kern w:val="0"/>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
    <w:name w:val="Plain Table 11"/>
    <w:basedOn w:val="TableNormal"/>
    <w:next w:val="PlainTable1"/>
    <w:uiPriority w:val="41"/>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next w:val="GridTableLight"/>
    <w:uiPriority w:val="40"/>
    <w:rsid w:val="00DA689F"/>
    <w:pPr>
      <w:spacing w:before="100" w:beforeAutospacing="1" w:after="240" w:line="240" w:lineRule="auto"/>
      <w:jc w:val="both"/>
    </w:pPr>
    <w:rPr>
      <w:kern w:val="0"/>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31">
    <w:name w:val="Plain Table 31"/>
    <w:basedOn w:val="TableNormal"/>
    <w:next w:val="PlainTable3"/>
    <w:uiPriority w:val="43"/>
    <w:rsid w:val="00DA689F"/>
    <w:pPr>
      <w:spacing w:before="100" w:beforeAutospacing="1" w:after="240" w:line="240" w:lineRule="auto"/>
      <w:jc w:val="both"/>
    </w:pPr>
    <w:rPr>
      <w:kern w:val="0"/>
      <w:sz w:val="24"/>
      <w:szCs w:val="24"/>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
    <w:name w:val="Grid Table 1 Light1"/>
    <w:basedOn w:val="TableNormal"/>
    <w:next w:val="GridTable1Light"/>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artbyline">
    <w:name w:val="artbyline"/>
    <w:basedOn w:val="DefaultParagraphFont"/>
    <w:rsid w:val="00DA689F"/>
  </w:style>
  <w:style w:type="table" w:customStyle="1" w:styleId="TableGrid11">
    <w:name w:val="Table Grid11"/>
    <w:basedOn w:val="TableNormal"/>
    <w:uiPriority w:val="59"/>
    <w:rsid w:val="00DA689F"/>
    <w:pPr>
      <w:spacing w:before="100" w:beforeAutospacing="1" w:after="240" w:line="240" w:lineRule="auto"/>
      <w:jc w:val="both"/>
    </w:pPr>
    <w:rPr>
      <w:rFonts w:eastAsia="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11">
    <w:name w:val="A11"/>
    <w:uiPriority w:val="99"/>
    <w:rsid w:val="00DA689F"/>
    <w:rPr>
      <w:rFonts w:cs="Cambria"/>
      <w:color w:val="000000"/>
      <w:sz w:val="18"/>
      <w:szCs w:val="18"/>
    </w:rPr>
  </w:style>
  <w:style w:type="table" w:customStyle="1" w:styleId="GridTable1Light-Accent11">
    <w:name w:val="Grid Table 1 Light - Accent 11"/>
    <w:basedOn w:val="TableNormal"/>
    <w:next w:val="GridTable1LightAccent1"/>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2">
    <w:name w:val="Grid Table 1 Light - Accent 12"/>
    <w:basedOn w:val="TableNormal"/>
    <w:next w:val="GridTable1LightAccent1"/>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PlainTable12">
    <w:name w:val="Plain Table 12"/>
    <w:basedOn w:val="TableNormal"/>
    <w:next w:val="PlainTable1"/>
    <w:uiPriority w:val="41"/>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3">
    <w:name w:val="Plain Table 13"/>
    <w:basedOn w:val="TableNormal"/>
    <w:next w:val="PlainTable1"/>
    <w:uiPriority w:val="41"/>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4">
    <w:name w:val="Plain Table 14"/>
    <w:basedOn w:val="TableNormal"/>
    <w:next w:val="PlainTable1"/>
    <w:uiPriority w:val="41"/>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qFormat/>
    <w:rsid w:val="00DA689F"/>
    <w:pPr>
      <w:numPr>
        <w:ilvl w:val="1"/>
      </w:numPr>
      <w:spacing w:before="100" w:beforeAutospacing="1" w:line="278" w:lineRule="auto"/>
      <w:jc w:val="both"/>
    </w:pPr>
    <w:rPr>
      <w:rFonts w:ascii="Times New Roman" w:eastAsiaTheme="majorEastAsia" w:hAnsi="Times New Roman" w:cstheme="majorBidi"/>
      <w:color w:val="595959" w:themeColor="text1" w:themeTint="A6"/>
      <w:spacing w:val="15"/>
      <w:kern w:val="2"/>
      <w:sz w:val="28"/>
      <w:szCs w:val="28"/>
    </w:rPr>
  </w:style>
  <w:style w:type="character" w:customStyle="1" w:styleId="SubtitleChar">
    <w:name w:val="Subtitle Char"/>
    <w:basedOn w:val="DefaultParagraphFont"/>
    <w:link w:val="Subtitle"/>
    <w:qFormat/>
    <w:rsid w:val="00DA689F"/>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DA689F"/>
    <w:pPr>
      <w:spacing w:before="160" w:beforeAutospacing="1" w:line="278" w:lineRule="auto"/>
      <w:jc w:val="center"/>
    </w:pPr>
    <w:rPr>
      <w:rFonts w:ascii="Times New Roman" w:eastAsiaTheme="minorEastAsia" w:hAnsi="Times New Roman" w:cstheme="minorBidi"/>
      <w:i/>
      <w:iCs/>
      <w:color w:val="404040" w:themeColor="text1" w:themeTint="BF"/>
      <w:kern w:val="2"/>
      <w:sz w:val="24"/>
      <w:szCs w:val="24"/>
    </w:rPr>
  </w:style>
  <w:style w:type="character" w:customStyle="1" w:styleId="QuoteChar">
    <w:name w:val="Quote Char"/>
    <w:basedOn w:val="DefaultParagraphFont"/>
    <w:link w:val="Quote"/>
    <w:uiPriority w:val="29"/>
    <w:rsid w:val="00DA689F"/>
    <w:rPr>
      <w:rFonts w:ascii="Times New Roman" w:eastAsiaTheme="minorEastAsia" w:hAnsi="Times New Roman"/>
      <w:i/>
      <w:iCs/>
      <w:color w:val="404040" w:themeColor="text1" w:themeTint="BF"/>
      <w:sz w:val="24"/>
      <w:szCs w:val="24"/>
    </w:rPr>
  </w:style>
  <w:style w:type="character" w:styleId="IntenseEmphasis">
    <w:name w:val="Intense Emphasis"/>
    <w:basedOn w:val="DefaultParagraphFont"/>
    <w:uiPriority w:val="21"/>
    <w:qFormat/>
    <w:rsid w:val="00DA689F"/>
    <w:rPr>
      <w:i/>
      <w:iCs/>
      <w:color w:val="2F5496" w:themeColor="accent1" w:themeShade="BF"/>
    </w:rPr>
  </w:style>
  <w:style w:type="paragraph" w:styleId="IntenseQuote">
    <w:name w:val="Intense Quote"/>
    <w:basedOn w:val="Normal"/>
    <w:next w:val="Normal"/>
    <w:link w:val="IntenseQuoteChar"/>
    <w:uiPriority w:val="30"/>
    <w:qFormat/>
    <w:rsid w:val="00DA689F"/>
    <w:pPr>
      <w:pBdr>
        <w:top w:val="single" w:sz="4" w:space="10" w:color="2F5496" w:themeColor="accent1" w:themeShade="BF"/>
        <w:bottom w:val="single" w:sz="4" w:space="10" w:color="2F5496" w:themeColor="accent1" w:themeShade="BF"/>
      </w:pBdr>
      <w:spacing w:before="360" w:beforeAutospacing="1" w:after="360" w:line="278" w:lineRule="auto"/>
      <w:ind w:left="864" w:right="864"/>
      <w:jc w:val="center"/>
    </w:pPr>
    <w:rPr>
      <w:rFonts w:ascii="Times New Roman" w:eastAsiaTheme="minorEastAsia" w:hAnsi="Times New Roman" w:cstheme="minorBidi"/>
      <w:i/>
      <w:iCs/>
      <w:color w:val="2F5496" w:themeColor="accent1" w:themeShade="BF"/>
      <w:kern w:val="2"/>
      <w:sz w:val="24"/>
      <w:szCs w:val="24"/>
    </w:rPr>
  </w:style>
  <w:style w:type="character" w:customStyle="1" w:styleId="IntenseQuoteChar">
    <w:name w:val="Intense Quote Char"/>
    <w:basedOn w:val="DefaultParagraphFont"/>
    <w:link w:val="IntenseQuote"/>
    <w:uiPriority w:val="30"/>
    <w:rsid w:val="00DA689F"/>
    <w:rPr>
      <w:rFonts w:ascii="Times New Roman" w:eastAsiaTheme="minorEastAsia" w:hAnsi="Times New Roman"/>
      <w:i/>
      <w:iCs/>
      <w:color w:val="2F5496" w:themeColor="accent1" w:themeShade="BF"/>
      <w:sz w:val="24"/>
      <w:szCs w:val="24"/>
    </w:rPr>
  </w:style>
  <w:style w:type="character" w:styleId="IntenseReference">
    <w:name w:val="Intense Reference"/>
    <w:basedOn w:val="DefaultParagraphFont"/>
    <w:uiPriority w:val="32"/>
    <w:qFormat/>
    <w:rsid w:val="00DA689F"/>
    <w:rPr>
      <w:b/>
      <w:bCs/>
      <w:smallCaps/>
      <w:color w:val="2F5496" w:themeColor="accent1" w:themeShade="BF"/>
      <w:spacing w:val="5"/>
    </w:rPr>
  </w:style>
  <w:style w:type="character" w:styleId="LineNumber">
    <w:name w:val="line number"/>
    <w:basedOn w:val="DefaultParagraphFont"/>
    <w:uiPriority w:val="99"/>
    <w:semiHidden/>
    <w:unhideWhenUsed/>
    <w:rsid w:val="00DA689F"/>
  </w:style>
  <w:style w:type="character" w:customStyle="1" w:styleId="NoSpacingChar">
    <w:name w:val="No Spacing Char"/>
    <w:aliases w:val="Yadel Char,body Char"/>
    <w:basedOn w:val="DefaultParagraphFont"/>
    <w:link w:val="NoSpacing"/>
    <w:uiPriority w:val="1"/>
    <w:qFormat/>
    <w:rsid w:val="00DA689F"/>
  </w:style>
  <w:style w:type="character" w:styleId="SubtleEmphasis">
    <w:name w:val="Subtle Emphasis"/>
    <w:basedOn w:val="DefaultParagraphFont"/>
    <w:uiPriority w:val="19"/>
    <w:qFormat/>
    <w:rsid w:val="00DA689F"/>
    <w:rPr>
      <w:i/>
      <w:iCs/>
      <w:color w:val="404040" w:themeColor="text1" w:themeTint="BF"/>
    </w:rPr>
  </w:style>
  <w:style w:type="table" w:customStyle="1" w:styleId="GridTable5Dark">
    <w:name w:val="Grid Table 5 Dark"/>
    <w:basedOn w:val="TableNormal"/>
    <w:uiPriority w:val="50"/>
    <w:rsid w:val="00DA689F"/>
    <w:pPr>
      <w:spacing w:before="100" w:beforeAutospacing="1" w:after="240" w:line="240" w:lineRule="auto"/>
      <w:jc w:val="both"/>
    </w:pPr>
    <w:rPr>
      <w:rFonts w:eastAsiaTheme="minorEastAsia"/>
      <w:sz w:val="24"/>
      <w:szCs w:val="24"/>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katex-mathml">
    <w:name w:val="katex-mathml"/>
    <w:basedOn w:val="DefaultParagraphFont"/>
    <w:rsid w:val="00DA689F"/>
  </w:style>
  <w:style w:type="character" w:customStyle="1" w:styleId="mord">
    <w:name w:val="mord"/>
    <w:basedOn w:val="DefaultParagraphFont"/>
    <w:rsid w:val="00DA689F"/>
  </w:style>
  <w:style w:type="character" w:customStyle="1" w:styleId="mrel">
    <w:name w:val="mrel"/>
    <w:basedOn w:val="DefaultParagraphFont"/>
    <w:rsid w:val="00DA689F"/>
  </w:style>
  <w:style w:type="character" w:customStyle="1" w:styleId="mopen">
    <w:name w:val="mopen"/>
    <w:basedOn w:val="DefaultParagraphFont"/>
    <w:rsid w:val="00DA689F"/>
  </w:style>
  <w:style w:type="character" w:customStyle="1" w:styleId="mbin">
    <w:name w:val="mbin"/>
    <w:basedOn w:val="DefaultParagraphFont"/>
    <w:rsid w:val="00DA689F"/>
  </w:style>
  <w:style w:type="character" w:customStyle="1" w:styleId="mclose">
    <w:name w:val="mclose"/>
    <w:basedOn w:val="DefaultParagraphFont"/>
    <w:rsid w:val="00DA689F"/>
  </w:style>
  <w:style w:type="character" w:customStyle="1" w:styleId="vlist-s">
    <w:name w:val="vlist-s"/>
    <w:basedOn w:val="DefaultParagraphFont"/>
    <w:rsid w:val="00DA689F"/>
  </w:style>
  <w:style w:type="character" w:customStyle="1" w:styleId="mpunct">
    <w:name w:val="mpunct"/>
    <w:basedOn w:val="DefaultParagraphFont"/>
    <w:rsid w:val="00DA689F"/>
  </w:style>
  <w:style w:type="paragraph" w:styleId="TOC4">
    <w:name w:val="toc 4"/>
    <w:basedOn w:val="Normal"/>
    <w:next w:val="Normal"/>
    <w:autoRedefine/>
    <w:uiPriority w:val="39"/>
    <w:unhideWhenUsed/>
    <w:rsid w:val="00DA689F"/>
    <w:pPr>
      <w:spacing w:before="100" w:beforeAutospacing="1" w:after="240" w:line="240" w:lineRule="auto"/>
      <w:ind w:left="480"/>
      <w:jc w:val="both"/>
    </w:pPr>
    <w:rPr>
      <w:rFonts w:asciiTheme="minorHAnsi" w:eastAsiaTheme="minorHAnsi" w:hAnsiTheme="minorHAnsi" w:cstheme="minorHAnsi"/>
      <w:sz w:val="20"/>
      <w:szCs w:val="20"/>
    </w:rPr>
  </w:style>
  <w:style w:type="paragraph" w:styleId="TOC5">
    <w:name w:val="toc 5"/>
    <w:basedOn w:val="Normal"/>
    <w:next w:val="Normal"/>
    <w:autoRedefine/>
    <w:uiPriority w:val="39"/>
    <w:unhideWhenUsed/>
    <w:rsid w:val="00DA689F"/>
    <w:pPr>
      <w:spacing w:before="100" w:beforeAutospacing="1" w:after="240" w:line="240" w:lineRule="auto"/>
      <w:ind w:left="720"/>
      <w:jc w:val="both"/>
    </w:pPr>
    <w:rPr>
      <w:rFonts w:asciiTheme="minorHAnsi" w:eastAsiaTheme="minorHAnsi" w:hAnsiTheme="minorHAnsi" w:cstheme="minorHAnsi"/>
      <w:sz w:val="20"/>
      <w:szCs w:val="20"/>
    </w:rPr>
  </w:style>
  <w:style w:type="paragraph" w:styleId="TOC6">
    <w:name w:val="toc 6"/>
    <w:basedOn w:val="Normal"/>
    <w:next w:val="Normal"/>
    <w:autoRedefine/>
    <w:uiPriority w:val="39"/>
    <w:unhideWhenUsed/>
    <w:rsid w:val="00DA689F"/>
    <w:pPr>
      <w:spacing w:before="100" w:beforeAutospacing="1" w:after="240" w:line="240" w:lineRule="auto"/>
      <w:ind w:left="960"/>
      <w:jc w:val="both"/>
    </w:pPr>
    <w:rPr>
      <w:rFonts w:asciiTheme="minorHAnsi" w:eastAsiaTheme="minorHAnsi" w:hAnsiTheme="minorHAnsi" w:cstheme="minorHAnsi"/>
      <w:sz w:val="20"/>
      <w:szCs w:val="20"/>
    </w:rPr>
  </w:style>
  <w:style w:type="paragraph" w:styleId="TOC7">
    <w:name w:val="toc 7"/>
    <w:basedOn w:val="Normal"/>
    <w:next w:val="Normal"/>
    <w:autoRedefine/>
    <w:uiPriority w:val="39"/>
    <w:unhideWhenUsed/>
    <w:rsid w:val="00DA689F"/>
    <w:pPr>
      <w:spacing w:before="100" w:beforeAutospacing="1" w:after="240" w:line="240" w:lineRule="auto"/>
      <w:ind w:left="1200"/>
      <w:jc w:val="both"/>
    </w:pPr>
    <w:rPr>
      <w:rFonts w:asciiTheme="minorHAnsi" w:eastAsiaTheme="minorHAnsi" w:hAnsiTheme="minorHAnsi" w:cstheme="minorHAnsi"/>
      <w:sz w:val="20"/>
      <w:szCs w:val="20"/>
    </w:rPr>
  </w:style>
  <w:style w:type="paragraph" w:styleId="TOC8">
    <w:name w:val="toc 8"/>
    <w:basedOn w:val="Normal"/>
    <w:next w:val="Normal"/>
    <w:autoRedefine/>
    <w:uiPriority w:val="39"/>
    <w:unhideWhenUsed/>
    <w:rsid w:val="00DA689F"/>
    <w:pPr>
      <w:spacing w:before="100" w:beforeAutospacing="1" w:after="240" w:line="240" w:lineRule="auto"/>
      <w:ind w:left="1440"/>
      <w:jc w:val="both"/>
    </w:pPr>
    <w:rPr>
      <w:rFonts w:asciiTheme="minorHAnsi" w:eastAsiaTheme="minorHAnsi" w:hAnsiTheme="minorHAnsi" w:cstheme="minorHAnsi"/>
      <w:sz w:val="20"/>
      <w:szCs w:val="20"/>
    </w:rPr>
  </w:style>
  <w:style w:type="paragraph" w:styleId="TOC9">
    <w:name w:val="toc 9"/>
    <w:basedOn w:val="Normal"/>
    <w:next w:val="Normal"/>
    <w:autoRedefine/>
    <w:uiPriority w:val="39"/>
    <w:unhideWhenUsed/>
    <w:rsid w:val="00DA689F"/>
    <w:pPr>
      <w:spacing w:before="100" w:beforeAutospacing="1" w:after="240" w:line="240" w:lineRule="auto"/>
      <w:ind w:left="1680"/>
      <w:jc w:val="both"/>
    </w:pPr>
    <w:rPr>
      <w:rFonts w:asciiTheme="minorHAnsi" w:eastAsiaTheme="minorHAnsi" w:hAnsiTheme="minorHAnsi" w:cstheme="minorHAnsi"/>
      <w:sz w:val="20"/>
      <w:szCs w:val="20"/>
    </w:rPr>
  </w:style>
  <w:style w:type="paragraph" w:styleId="TableofAuthorities">
    <w:name w:val="table of authorities"/>
    <w:basedOn w:val="Normal"/>
    <w:next w:val="Normal"/>
    <w:uiPriority w:val="99"/>
    <w:semiHidden/>
    <w:unhideWhenUsed/>
    <w:qFormat/>
    <w:rsid w:val="00DA689F"/>
    <w:pPr>
      <w:spacing w:before="100" w:beforeAutospacing="1" w:after="240" w:line="240" w:lineRule="auto"/>
      <w:ind w:left="240" w:hanging="240"/>
      <w:jc w:val="both"/>
    </w:pPr>
    <w:rPr>
      <w:rFonts w:asciiTheme="minorHAnsi" w:eastAsiaTheme="minorEastAsia" w:hAnsiTheme="minorHAnsi" w:cstheme="minorBidi"/>
      <w:sz w:val="24"/>
      <w:szCs w:val="24"/>
      <w:lang w:val="zh-CN"/>
    </w:rPr>
  </w:style>
  <w:style w:type="paragraph" w:customStyle="1" w:styleId="Style2">
    <w:name w:val="Style2"/>
    <w:basedOn w:val="TableofFigures"/>
    <w:qFormat/>
    <w:rsid w:val="00DA689F"/>
    <w:pPr>
      <w:tabs>
        <w:tab w:val="right" w:leader="dot" w:pos="10478"/>
      </w:tabs>
      <w:spacing w:after="0"/>
      <w:ind w:left="480" w:hanging="480"/>
    </w:pPr>
    <w:rPr>
      <w:rFonts w:eastAsiaTheme="minorEastAsia" w:cstheme="minorHAnsi"/>
      <w:caps/>
      <w:color w:val="000000" w:themeColor="text1"/>
      <w:sz w:val="20"/>
      <w:szCs w:val="20"/>
      <w:lang w:val="zh-CN"/>
    </w:rPr>
  </w:style>
  <w:style w:type="character" w:customStyle="1" w:styleId="15">
    <w:name w:val="15"/>
    <w:basedOn w:val="DefaultParagraphFont"/>
    <w:qFormat/>
    <w:rsid w:val="00DA689F"/>
    <w:rPr>
      <w:rFonts w:ascii="Calibri" w:hAnsi="Calibri" w:cs="Calibri" w:hint="default"/>
      <w:color w:val="0563C1"/>
      <w:u w:val="single"/>
    </w:rPr>
  </w:style>
  <w:style w:type="paragraph" w:customStyle="1" w:styleId="whitespace-pre-wrap">
    <w:name w:val="whitespace-pre-wrap"/>
    <w:basedOn w:val="Normal"/>
    <w:rsid w:val="00DA689F"/>
    <w:pPr>
      <w:spacing w:before="100" w:beforeAutospacing="1" w:after="100" w:afterAutospacing="1" w:line="240" w:lineRule="auto"/>
      <w:jc w:val="both"/>
    </w:pPr>
    <w:rPr>
      <w:rFonts w:ascii="Times New Roman" w:eastAsia="Times New Roman" w:hAnsi="Times New Roman"/>
      <w:sz w:val="24"/>
      <w:szCs w:val="24"/>
      <w:lang w:val="zh-CN" w:eastAsia="en-GB"/>
    </w:rPr>
  </w:style>
  <w:style w:type="paragraph" w:customStyle="1" w:styleId="whitespace-normal">
    <w:name w:val="whitespace-normal"/>
    <w:basedOn w:val="Normal"/>
    <w:rsid w:val="00DA689F"/>
    <w:pPr>
      <w:spacing w:before="100" w:beforeAutospacing="1" w:after="100" w:afterAutospacing="1" w:line="240" w:lineRule="auto"/>
      <w:jc w:val="both"/>
    </w:pPr>
    <w:rPr>
      <w:rFonts w:ascii="Times New Roman" w:eastAsia="Times New Roman" w:hAnsi="Times New Roman"/>
      <w:sz w:val="24"/>
      <w:szCs w:val="24"/>
      <w:lang w:val="zh-CN" w:eastAsia="en-GB"/>
    </w:rPr>
  </w:style>
  <w:style w:type="paragraph" w:customStyle="1" w:styleId="Heading11">
    <w:name w:val="Heading 11"/>
    <w:basedOn w:val="Heading1"/>
    <w:autoRedefine/>
    <w:qFormat/>
    <w:rsid w:val="00DA689F"/>
    <w:pPr>
      <w:spacing w:beforeAutospacing="1" w:after="240" w:line="240" w:lineRule="auto"/>
      <w:jc w:val="both"/>
    </w:pPr>
    <w:rPr>
      <w:rFonts w:ascii="Times New Roman" w:eastAsia="Calibri" w:hAnsi="Times New Roman"/>
      <w:b/>
      <w:color w:val="auto"/>
      <w:sz w:val="24"/>
    </w:rPr>
  </w:style>
  <w:style w:type="paragraph" w:customStyle="1" w:styleId="Style1">
    <w:name w:val="Style1"/>
    <w:basedOn w:val="Normal"/>
    <w:qFormat/>
    <w:rsid w:val="00DA689F"/>
    <w:pPr>
      <w:spacing w:before="100" w:beforeAutospacing="1" w:after="240" w:line="360" w:lineRule="auto"/>
      <w:jc w:val="both"/>
    </w:pPr>
    <w:rPr>
      <w:rFonts w:ascii="Times New Roman" w:eastAsiaTheme="minorEastAsia" w:hAnsi="Times New Roman"/>
      <w:sz w:val="24"/>
      <w:szCs w:val="24"/>
      <w:lang w:val="zh-CN"/>
    </w:rPr>
  </w:style>
  <w:style w:type="character" w:styleId="PageNumber">
    <w:name w:val="page number"/>
    <w:basedOn w:val="DefaultParagraphFont"/>
    <w:unhideWhenUsed/>
    <w:rsid w:val="00DA689F"/>
  </w:style>
  <w:style w:type="character" w:customStyle="1" w:styleId="ng-star-inserted">
    <w:name w:val="ng-star-inserted"/>
    <w:basedOn w:val="DefaultParagraphFont"/>
    <w:rsid w:val="00DA689F"/>
  </w:style>
  <w:style w:type="character" w:customStyle="1" w:styleId="mat-mdc-tooltip-trigger">
    <w:name w:val="mat-mdc-tooltip-trigger"/>
    <w:basedOn w:val="DefaultParagraphFont"/>
    <w:rsid w:val="00DA689F"/>
  </w:style>
  <w:style w:type="character" w:customStyle="1" w:styleId="mdc-buttonlabel">
    <w:name w:val="mdc-button__label"/>
    <w:basedOn w:val="DefaultParagraphFont"/>
    <w:rsid w:val="00DA689F"/>
  </w:style>
  <w:style w:type="character" w:customStyle="1" w:styleId="bold">
    <w:name w:val="bold"/>
    <w:basedOn w:val="DefaultParagraphFont"/>
    <w:rsid w:val="00DA689F"/>
  </w:style>
  <w:style w:type="character" w:customStyle="1" w:styleId="UnresolvedMention2">
    <w:name w:val="Unresolved Mention2"/>
    <w:basedOn w:val="DefaultParagraphFont"/>
    <w:uiPriority w:val="99"/>
    <w:semiHidden/>
    <w:unhideWhenUsed/>
    <w:rsid w:val="00DA689F"/>
    <w:rPr>
      <w:color w:val="605E5C"/>
      <w:shd w:val="clear" w:color="auto" w:fill="E1DFDD"/>
    </w:rPr>
  </w:style>
  <w:style w:type="paragraph" w:styleId="Revision">
    <w:name w:val="Revision"/>
    <w:hidden/>
    <w:uiPriority w:val="99"/>
    <w:semiHidden/>
    <w:rsid w:val="00DA689F"/>
    <w:pPr>
      <w:spacing w:before="100" w:beforeAutospacing="1" w:after="240" w:line="240" w:lineRule="auto"/>
      <w:jc w:val="both"/>
    </w:pPr>
    <w:rPr>
      <w:rFonts w:eastAsiaTheme="minorEastAsia"/>
      <w:kern w:val="0"/>
      <w:sz w:val="24"/>
      <w:szCs w:val="24"/>
      <w:lang w:val="zh-CN"/>
    </w:rPr>
  </w:style>
  <w:style w:type="paragraph" w:customStyle="1" w:styleId="p1">
    <w:name w:val="p1"/>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character" w:customStyle="1" w:styleId="s1">
    <w:name w:val="s1"/>
    <w:basedOn w:val="DefaultParagraphFont"/>
    <w:rsid w:val="00DA689F"/>
    <w:rPr>
      <w:rFonts w:ascii="UICTFontTextStyleBody" w:hAnsi="UICTFontTextStyleBody" w:hint="default"/>
      <w:b w:val="0"/>
      <w:bCs w:val="0"/>
      <w:i w:val="0"/>
      <w:iCs w:val="0"/>
      <w:sz w:val="26"/>
      <w:szCs w:val="26"/>
    </w:rPr>
  </w:style>
  <w:style w:type="paragraph" w:customStyle="1" w:styleId="p2">
    <w:name w:val="p2"/>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paragraph" w:customStyle="1" w:styleId="li1">
    <w:name w:val="li1"/>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character" w:customStyle="1" w:styleId="apple-converted-space">
    <w:name w:val="apple-converted-space"/>
    <w:basedOn w:val="DefaultParagraphFont"/>
    <w:qFormat/>
    <w:rsid w:val="00DA689F"/>
  </w:style>
  <w:style w:type="character" w:customStyle="1" w:styleId="bumpedfont15">
    <w:name w:val="bumpedfont15"/>
    <w:basedOn w:val="DefaultParagraphFont"/>
    <w:rsid w:val="00DA689F"/>
  </w:style>
  <w:style w:type="paragraph" w:customStyle="1" w:styleId="s100">
    <w:name w:val="s100"/>
    <w:basedOn w:val="Normal"/>
    <w:rsid w:val="00DA689F"/>
    <w:pPr>
      <w:spacing w:before="100" w:beforeAutospacing="1" w:after="100" w:afterAutospacing="1" w:line="240" w:lineRule="auto"/>
      <w:jc w:val="both"/>
    </w:pPr>
    <w:rPr>
      <w:rFonts w:ascii="Times New Roman" w:eastAsiaTheme="minorEastAsia" w:hAnsi="Times New Roman"/>
      <w:sz w:val="24"/>
      <w:szCs w:val="24"/>
      <w:lang w:eastAsia="en-GB"/>
    </w:rPr>
  </w:style>
  <w:style w:type="table" w:customStyle="1" w:styleId="PlainTable4">
    <w:name w:val="Plain Table 4"/>
    <w:basedOn w:val="TableNormal"/>
    <w:uiPriority w:val="44"/>
    <w:rsid w:val="00DA689F"/>
    <w:pPr>
      <w:spacing w:before="100" w:beforeAutospacing="1" w:after="24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pelle">
    <w:name w:val="spelle"/>
    <w:basedOn w:val="DefaultParagraphFont"/>
    <w:rsid w:val="00DA689F"/>
  </w:style>
  <w:style w:type="character" w:styleId="HTMLCite">
    <w:name w:val="HTML Cite"/>
    <w:basedOn w:val="DefaultParagraphFont"/>
    <w:uiPriority w:val="99"/>
    <w:unhideWhenUsed/>
    <w:rsid w:val="00DA689F"/>
    <w:rPr>
      <w:i/>
      <w:iCs/>
    </w:rPr>
  </w:style>
  <w:style w:type="character" w:customStyle="1" w:styleId="url">
    <w:name w:val="url"/>
    <w:basedOn w:val="DefaultParagraphFont"/>
    <w:rsid w:val="00DA689F"/>
  </w:style>
  <w:style w:type="character" w:customStyle="1" w:styleId="uv3um">
    <w:name w:val="uv3um"/>
    <w:basedOn w:val="DefaultParagraphFont"/>
    <w:rsid w:val="00DA689F"/>
  </w:style>
  <w:style w:type="character" w:customStyle="1" w:styleId="oxzekf">
    <w:name w:val="oxzekf"/>
    <w:basedOn w:val="DefaultParagraphFont"/>
    <w:rsid w:val="00DA689F"/>
  </w:style>
  <w:style w:type="paragraph" w:customStyle="1" w:styleId="ListParagraph1">
    <w:name w:val="List Paragraph1"/>
    <w:basedOn w:val="Normal"/>
    <w:uiPriority w:val="34"/>
    <w:unhideWhenUsed/>
    <w:qFormat/>
    <w:rsid w:val="00DA689F"/>
    <w:pPr>
      <w:spacing w:before="100" w:beforeAutospacing="1" w:after="240" w:line="240" w:lineRule="auto"/>
      <w:ind w:left="720"/>
      <w:contextualSpacing/>
      <w:jc w:val="both"/>
    </w:pPr>
    <w:rPr>
      <w:rFonts w:asciiTheme="minorHAnsi" w:eastAsiaTheme="minorEastAsia" w:hAnsiTheme="minorHAnsi" w:cstheme="minorBidi"/>
      <w:sz w:val="20"/>
      <w:szCs w:val="20"/>
      <w:lang w:eastAsia="zh-CN"/>
    </w:rPr>
  </w:style>
  <w:style w:type="character" w:customStyle="1" w:styleId="kx21rb">
    <w:name w:val="kx21rb"/>
    <w:basedOn w:val="DefaultParagraphFont"/>
    <w:rsid w:val="00DA689F"/>
  </w:style>
  <w:style w:type="character" w:customStyle="1" w:styleId="yrbpuc">
    <w:name w:val="yrbpuc"/>
    <w:basedOn w:val="DefaultParagraphFont"/>
    <w:rsid w:val="00DA689F"/>
  </w:style>
  <w:style w:type="table" w:customStyle="1" w:styleId="GridTable1LightAccent6">
    <w:name w:val="Grid Table 1 Light Accent 6"/>
    <w:basedOn w:val="TableNormal"/>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DA689F"/>
    <w:pPr>
      <w:spacing w:before="100" w:beforeAutospacing="1" w:after="240" w:line="240" w:lineRule="auto"/>
      <w:jc w:val="both"/>
    </w:pPr>
    <w:rPr>
      <w:kern w:val="0"/>
      <w:sz w:val="24"/>
      <w:szCs w:val="24"/>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5">
    <w:name w:val="Grid Table 1 Light Accent 5"/>
    <w:basedOn w:val="TableNormal"/>
    <w:uiPriority w:val="46"/>
    <w:rsid w:val="00DA689F"/>
    <w:pPr>
      <w:spacing w:before="100" w:beforeAutospacing="1" w:after="240" w:line="240" w:lineRule="auto"/>
      <w:jc w:val="both"/>
    </w:pPr>
    <w:rPr>
      <w:kern w:val="0"/>
      <w:sz w:val="24"/>
      <w:szCs w:val="24"/>
    </w:r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FIG">
    <w:name w:val="FIG"/>
    <w:basedOn w:val="Caption"/>
    <w:link w:val="FIGChar"/>
    <w:autoRedefine/>
    <w:qFormat/>
    <w:rsid w:val="00DA689F"/>
    <w:pPr>
      <w:spacing w:after="120"/>
    </w:pPr>
    <w:rPr>
      <w:b w:val="0"/>
    </w:rPr>
  </w:style>
  <w:style w:type="paragraph" w:customStyle="1" w:styleId="TAB">
    <w:name w:val="TAB"/>
    <w:basedOn w:val="Caption"/>
    <w:link w:val="TABChar"/>
    <w:autoRedefine/>
    <w:qFormat/>
    <w:rsid w:val="00DA689F"/>
    <w:pPr>
      <w:spacing w:before="120" w:after="0"/>
    </w:pPr>
    <w:rPr>
      <w:rFonts w:eastAsia="Times New Roman"/>
      <w:b w:val="0"/>
      <w:lang w:val="en-GB"/>
    </w:rPr>
  </w:style>
  <w:style w:type="character" w:customStyle="1" w:styleId="CaptionChar">
    <w:name w:val="Caption Char"/>
    <w:aliases w:val="Figures Char,Caption Table Char,Hinh Bang Char,Caption +13 pt Char,Caption hinh Char,Caption Char1 Char Char,Caption Char Char Char Char,Caption Char1 Char Char1 Char Char,Caption Char Char Char Char1 Char Char"/>
    <w:basedOn w:val="DefaultParagraphFont"/>
    <w:link w:val="Caption"/>
    <w:rsid w:val="00DA689F"/>
    <w:rPr>
      <w:rFonts w:ascii="Times New Roman" w:eastAsia="Calibri" w:hAnsi="Times New Roman" w:cs="Times New Roman"/>
      <w:b/>
      <w:iCs/>
      <w:kern w:val="0"/>
      <w:sz w:val="24"/>
      <w:szCs w:val="24"/>
    </w:rPr>
  </w:style>
  <w:style w:type="character" w:customStyle="1" w:styleId="FIGChar">
    <w:name w:val="FIG Char"/>
    <w:basedOn w:val="CaptionChar"/>
    <w:link w:val="FIG"/>
    <w:rsid w:val="00DA689F"/>
  </w:style>
  <w:style w:type="character" w:customStyle="1" w:styleId="TABChar">
    <w:name w:val="TAB Char"/>
    <w:basedOn w:val="CaptionChar"/>
    <w:link w:val="TAB"/>
    <w:rsid w:val="00DA689F"/>
    <w:rPr>
      <w:rFonts w:eastAsia="Times New Roman"/>
      <w:lang w:val="en-GB"/>
    </w:rPr>
  </w:style>
  <w:style w:type="character" w:customStyle="1" w:styleId="UnresolvedMention3">
    <w:name w:val="Unresolved Mention3"/>
    <w:basedOn w:val="DefaultParagraphFont"/>
    <w:uiPriority w:val="99"/>
    <w:semiHidden/>
    <w:unhideWhenUsed/>
    <w:rsid w:val="00DA689F"/>
    <w:rPr>
      <w:color w:val="605E5C"/>
      <w:shd w:val="clear" w:color="auto" w:fill="E1DFDD"/>
    </w:rPr>
  </w:style>
  <w:style w:type="paragraph" w:customStyle="1" w:styleId="PLA">
    <w:name w:val="PLA"/>
    <w:basedOn w:val="Caption"/>
    <w:link w:val="PLAChar"/>
    <w:autoRedefine/>
    <w:qFormat/>
    <w:rsid w:val="00DA689F"/>
    <w:pPr>
      <w:spacing w:after="120"/>
      <w:jc w:val="center"/>
    </w:pPr>
    <w:rPr>
      <w:b w:val="0"/>
    </w:rPr>
  </w:style>
  <w:style w:type="character" w:customStyle="1" w:styleId="PLAChar">
    <w:name w:val="PLA Char"/>
    <w:basedOn w:val="CaptionChar"/>
    <w:link w:val="PLA"/>
    <w:rsid w:val="00DA689F"/>
  </w:style>
  <w:style w:type="character" w:customStyle="1" w:styleId="muibox-root">
    <w:name w:val="muibox-root"/>
    <w:basedOn w:val="DefaultParagraphFont"/>
    <w:rsid w:val="00DA689F"/>
  </w:style>
  <w:style w:type="character" w:customStyle="1" w:styleId="css-1g9q2al">
    <w:name w:val="css-1g9q2al"/>
    <w:basedOn w:val="DefaultParagraphFont"/>
    <w:rsid w:val="00DA689F"/>
  </w:style>
  <w:style w:type="character" w:customStyle="1" w:styleId="css-1tmeul0">
    <w:name w:val="css-1tmeul0"/>
    <w:basedOn w:val="DefaultParagraphFont"/>
    <w:rsid w:val="00DA689F"/>
  </w:style>
  <w:style w:type="character" w:customStyle="1" w:styleId="css-0">
    <w:name w:val="css-0"/>
    <w:basedOn w:val="DefaultParagraphFont"/>
    <w:rsid w:val="00DA689F"/>
  </w:style>
  <w:style w:type="character" w:customStyle="1" w:styleId="title-text">
    <w:name w:val="title-text"/>
    <w:basedOn w:val="DefaultParagraphFont"/>
    <w:rsid w:val="00DA689F"/>
  </w:style>
  <w:style w:type="character" w:customStyle="1" w:styleId="react-xocs-alternative-link">
    <w:name w:val="react-xocs-alternative-link"/>
    <w:basedOn w:val="DefaultParagraphFont"/>
    <w:rsid w:val="00DA689F"/>
  </w:style>
  <w:style w:type="character" w:customStyle="1" w:styleId="given-name">
    <w:name w:val="given-name"/>
    <w:basedOn w:val="DefaultParagraphFont"/>
    <w:rsid w:val="00DA689F"/>
  </w:style>
  <w:style w:type="character" w:customStyle="1" w:styleId="text">
    <w:name w:val="text"/>
    <w:basedOn w:val="DefaultParagraphFont"/>
    <w:rsid w:val="00DA689F"/>
  </w:style>
  <w:style w:type="character" w:customStyle="1" w:styleId="button-link-text">
    <w:name w:val="button-link-text"/>
    <w:basedOn w:val="DefaultParagraphFont"/>
    <w:rsid w:val="00DA689F"/>
  </w:style>
  <w:style w:type="paragraph" w:customStyle="1" w:styleId="z1qcye">
    <w:name w:val="z1qcye"/>
    <w:basedOn w:val="Normal"/>
    <w:rsid w:val="00DA689F"/>
    <w:pPr>
      <w:spacing w:before="100" w:beforeAutospacing="1" w:after="100" w:afterAutospacing="1" w:line="240" w:lineRule="auto"/>
    </w:pPr>
    <w:rPr>
      <w:rFonts w:ascii="Times New Roman" w:eastAsia="Times New Roman" w:hAnsi="Times New Roman"/>
      <w:sz w:val="24"/>
      <w:szCs w:val="24"/>
    </w:rPr>
  </w:style>
  <w:style w:type="character" w:customStyle="1" w:styleId="inqyif">
    <w:name w:val="inqyif"/>
    <w:basedOn w:val="DefaultParagraphFont"/>
    <w:rsid w:val="00DA689F"/>
  </w:style>
  <w:style w:type="paragraph" w:customStyle="1" w:styleId="Affiliation">
    <w:name w:val="Affiliation"/>
    <w:rsid w:val="00462DAD"/>
    <w:pPr>
      <w:suppressAutoHyphens/>
      <w:spacing w:after="0" w:line="240" w:lineRule="auto"/>
      <w:jc w:val="center"/>
    </w:pPr>
    <w:rPr>
      <w:rFonts w:ascii="Times New Roman" w:eastAsia="SimSun" w:hAnsi="Times New Roman" w:cs="Times New Roman"/>
      <w:kern w:val="0"/>
      <w:sz w:val="20"/>
      <w:szCs w:val="20"/>
      <w:lang w:eastAsia="zh-CN"/>
    </w:rPr>
  </w:style>
  <w:style w:type="paragraph" w:customStyle="1" w:styleId="papertitle">
    <w:name w:val="paper title"/>
    <w:rsid w:val="00462DAD"/>
    <w:pPr>
      <w:suppressAutoHyphens/>
      <w:spacing w:after="120" w:line="240" w:lineRule="auto"/>
      <w:jc w:val="center"/>
    </w:pPr>
    <w:rPr>
      <w:rFonts w:ascii="Times New Roman" w:eastAsia="MS Mincho" w:hAnsi="Times New Roman" w:cs="Times New Roman"/>
      <w:kern w:val="0"/>
      <w:sz w:val="48"/>
      <w:szCs w:val="48"/>
    </w:rPr>
  </w:style>
  <w:style w:type="paragraph" w:customStyle="1" w:styleId="FirstParagraph">
    <w:name w:val="First Paragraph"/>
    <w:basedOn w:val="BodyText"/>
    <w:next w:val="BodyText"/>
    <w:qFormat/>
    <w:rsid w:val="00C64789"/>
    <w:pPr>
      <w:widowControl/>
      <w:autoSpaceDE/>
      <w:autoSpaceDN/>
      <w:spacing w:before="0" w:beforeAutospacing="0" w:after="60" w:line="252" w:lineRule="auto"/>
      <w:jc w:val="left"/>
    </w:pPr>
    <w:rPr>
      <w:rFonts w:cstheme="minorBidi"/>
      <w:sz w:val="20"/>
    </w:rPr>
  </w:style>
  <w:style w:type="paragraph" w:customStyle="1" w:styleId="Compact">
    <w:name w:val="Compact"/>
    <w:basedOn w:val="BodyText"/>
    <w:qFormat/>
    <w:rsid w:val="00C64789"/>
    <w:pPr>
      <w:widowControl/>
      <w:autoSpaceDE/>
      <w:autoSpaceDN/>
      <w:spacing w:before="36" w:beforeAutospacing="0" w:after="36" w:line="252" w:lineRule="auto"/>
      <w:jc w:val="left"/>
    </w:pPr>
    <w:rPr>
      <w:rFonts w:cstheme="minorBidi"/>
      <w:sz w:val="20"/>
    </w:rPr>
  </w:style>
  <w:style w:type="paragraph" w:customStyle="1" w:styleId="Author">
    <w:name w:val="Author"/>
    <w:next w:val="BodyText"/>
    <w:qFormat/>
    <w:rsid w:val="00C64789"/>
    <w:pPr>
      <w:keepNext/>
      <w:keepLines/>
      <w:spacing w:after="200" w:line="240" w:lineRule="auto"/>
      <w:jc w:val="center"/>
    </w:pPr>
    <w:rPr>
      <w:kern w:val="0"/>
      <w:sz w:val="24"/>
      <w:szCs w:val="24"/>
    </w:rPr>
  </w:style>
  <w:style w:type="paragraph" w:styleId="Date">
    <w:name w:val="Date"/>
    <w:next w:val="BodyText"/>
    <w:link w:val="DateChar"/>
    <w:qFormat/>
    <w:rsid w:val="00C64789"/>
    <w:pPr>
      <w:keepNext/>
      <w:keepLines/>
      <w:spacing w:after="200" w:line="240" w:lineRule="auto"/>
      <w:jc w:val="center"/>
    </w:pPr>
    <w:rPr>
      <w:kern w:val="0"/>
      <w:sz w:val="24"/>
      <w:szCs w:val="24"/>
    </w:rPr>
  </w:style>
  <w:style w:type="character" w:customStyle="1" w:styleId="DateChar">
    <w:name w:val="Date Char"/>
    <w:basedOn w:val="DefaultParagraphFont"/>
    <w:link w:val="Date"/>
    <w:rsid w:val="00C64789"/>
    <w:rPr>
      <w:kern w:val="0"/>
      <w:sz w:val="24"/>
      <w:szCs w:val="24"/>
    </w:rPr>
  </w:style>
  <w:style w:type="paragraph" w:customStyle="1" w:styleId="AbstractTitle">
    <w:name w:val="Abstract Title"/>
    <w:basedOn w:val="Normal"/>
    <w:next w:val="Abstract"/>
    <w:qFormat/>
    <w:rsid w:val="00C64789"/>
    <w:pPr>
      <w:keepNext/>
      <w:keepLines/>
      <w:spacing w:before="300" w:after="0" w:line="252" w:lineRule="auto"/>
      <w:jc w:val="center"/>
    </w:pPr>
    <w:rPr>
      <w:rFonts w:ascii="Times New Roman" w:eastAsia="Times New Roman" w:hAnsi="Times New Roman" w:cstheme="minorBidi"/>
      <w:b/>
      <w:color w:val="345A8A"/>
      <w:sz w:val="20"/>
      <w:szCs w:val="20"/>
    </w:rPr>
  </w:style>
  <w:style w:type="paragraph" w:customStyle="1" w:styleId="Abstract">
    <w:name w:val="Abstract"/>
    <w:basedOn w:val="Normal"/>
    <w:next w:val="BodyText"/>
    <w:qFormat/>
    <w:rsid w:val="00C64789"/>
    <w:pPr>
      <w:keepNext/>
      <w:keepLines/>
      <w:spacing w:before="100" w:after="300" w:line="252" w:lineRule="auto"/>
    </w:pPr>
    <w:rPr>
      <w:rFonts w:ascii="Times New Roman" w:eastAsia="Times New Roman" w:hAnsi="Times New Roman" w:cstheme="minorBidi"/>
      <w:sz w:val="20"/>
      <w:szCs w:val="20"/>
    </w:rPr>
  </w:style>
  <w:style w:type="paragraph" w:styleId="BlockText">
    <w:name w:val="Block Text"/>
    <w:basedOn w:val="BodyText"/>
    <w:next w:val="BodyText"/>
    <w:unhideWhenUsed/>
    <w:qFormat/>
    <w:rsid w:val="00C64789"/>
    <w:pPr>
      <w:widowControl/>
      <w:autoSpaceDE/>
      <w:autoSpaceDN/>
      <w:spacing w:beforeAutospacing="0" w:after="100" w:line="252" w:lineRule="auto"/>
      <w:ind w:left="480" w:right="480"/>
      <w:jc w:val="left"/>
    </w:pPr>
    <w:rPr>
      <w:rFonts w:cstheme="minorBidi"/>
      <w:sz w:val="20"/>
    </w:rPr>
  </w:style>
  <w:style w:type="paragraph" w:customStyle="1" w:styleId="FootnoteBlockText">
    <w:name w:val="Footnote Block Text"/>
    <w:uiPriority w:val="9"/>
    <w:unhideWhenUsed/>
    <w:qFormat/>
    <w:rsid w:val="00C64789"/>
    <w:pPr>
      <w:spacing w:before="100" w:after="100" w:line="240" w:lineRule="auto"/>
      <w:ind w:left="480" w:right="480"/>
    </w:pPr>
    <w:rPr>
      <w:kern w:val="0"/>
      <w:sz w:val="24"/>
      <w:szCs w:val="24"/>
    </w:rPr>
  </w:style>
  <w:style w:type="table" w:customStyle="1" w:styleId="Table">
    <w:name w:val="Table"/>
    <w:semiHidden/>
    <w:unhideWhenUsed/>
    <w:qFormat/>
    <w:rsid w:val="00C64789"/>
    <w:pPr>
      <w:spacing w:after="200" w:line="240" w:lineRule="auto"/>
    </w:pPr>
    <w:rPr>
      <w:kern w:val="0"/>
      <w:sz w:val="24"/>
      <w:szCs w:val="24"/>
      <w:lang w:bidi="hi-I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C64789"/>
    <w:pPr>
      <w:keepNext/>
      <w:keepLines/>
      <w:spacing w:after="0" w:line="252" w:lineRule="auto"/>
    </w:pPr>
    <w:rPr>
      <w:rFonts w:ascii="Times New Roman" w:eastAsia="Times New Roman" w:hAnsi="Times New Roman" w:cstheme="minorBidi"/>
      <w:b/>
      <w:sz w:val="20"/>
      <w:szCs w:val="24"/>
    </w:rPr>
  </w:style>
  <w:style w:type="paragraph" w:customStyle="1" w:styleId="Definition">
    <w:name w:val="Definition"/>
    <w:basedOn w:val="Normal"/>
    <w:rsid w:val="00C64789"/>
    <w:pPr>
      <w:spacing w:after="60" w:line="252" w:lineRule="auto"/>
    </w:pPr>
    <w:rPr>
      <w:rFonts w:ascii="Times New Roman" w:eastAsia="Times New Roman" w:hAnsi="Times New Roman" w:cstheme="minorBidi"/>
      <w:sz w:val="20"/>
      <w:szCs w:val="24"/>
    </w:rPr>
  </w:style>
  <w:style w:type="paragraph" w:customStyle="1" w:styleId="TableCaption">
    <w:name w:val="Table Caption"/>
    <w:basedOn w:val="Caption"/>
    <w:rsid w:val="00C64789"/>
    <w:pPr>
      <w:keepNext/>
      <w:spacing w:before="0" w:beforeAutospacing="0" w:after="120" w:line="252" w:lineRule="auto"/>
      <w:jc w:val="left"/>
    </w:pPr>
    <w:rPr>
      <w:rFonts w:eastAsia="Times New Roman" w:cstheme="minorBidi"/>
      <w:b w:val="0"/>
      <w:i/>
      <w:iCs w:val="0"/>
      <w:sz w:val="20"/>
    </w:rPr>
  </w:style>
  <w:style w:type="paragraph" w:customStyle="1" w:styleId="ImageCaption">
    <w:name w:val="Image Caption"/>
    <w:basedOn w:val="Caption"/>
    <w:rsid w:val="00C64789"/>
    <w:pPr>
      <w:spacing w:before="0" w:beforeAutospacing="0" w:after="120" w:line="252" w:lineRule="auto"/>
      <w:jc w:val="left"/>
    </w:pPr>
    <w:rPr>
      <w:rFonts w:eastAsia="Times New Roman" w:cstheme="minorBidi"/>
      <w:b w:val="0"/>
      <w:i/>
      <w:iCs w:val="0"/>
      <w:sz w:val="20"/>
    </w:rPr>
  </w:style>
  <w:style w:type="paragraph" w:customStyle="1" w:styleId="Figure">
    <w:name w:val="Figure"/>
    <w:basedOn w:val="Normal"/>
    <w:rsid w:val="00C64789"/>
    <w:pPr>
      <w:spacing w:after="60" w:line="252" w:lineRule="auto"/>
    </w:pPr>
    <w:rPr>
      <w:rFonts w:ascii="Times New Roman" w:eastAsia="Times New Roman" w:hAnsi="Times New Roman" w:cstheme="minorBidi"/>
      <w:sz w:val="20"/>
      <w:szCs w:val="24"/>
    </w:rPr>
  </w:style>
  <w:style w:type="paragraph" w:customStyle="1" w:styleId="CaptionedFigure">
    <w:name w:val="Captioned Figure"/>
    <w:basedOn w:val="Figure"/>
    <w:rsid w:val="00C64789"/>
    <w:pPr>
      <w:keepNext/>
    </w:pPr>
  </w:style>
  <w:style w:type="character" w:customStyle="1" w:styleId="VerbatimChar">
    <w:name w:val="Verbatim Char"/>
    <w:basedOn w:val="CaptionChar"/>
    <w:link w:val="SourceCode"/>
    <w:rsid w:val="00C64789"/>
    <w:rPr>
      <w:rFonts w:ascii="Consolas" w:hAnsi="Consolas"/>
    </w:rPr>
  </w:style>
  <w:style w:type="character" w:customStyle="1" w:styleId="SectionNumber">
    <w:name w:val="Section Number"/>
    <w:basedOn w:val="CaptionChar"/>
    <w:rsid w:val="00C64789"/>
  </w:style>
  <w:style w:type="paragraph" w:customStyle="1" w:styleId="SourceCode">
    <w:name w:val="Source Code"/>
    <w:basedOn w:val="Normal"/>
    <w:link w:val="VerbatimChar"/>
    <w:rsid w:val="00C64789"/>
    <w:pPr>
      <w:wordWrap w:val="0"/>
      <w:spacing w:after="60" w:line="252" w:lineRule="auto"/>
    </w:pPr>
    <w:rPr>
      <w:rFonts w:ascii="Consolas" w:eastAsiaTheme="minorHAnsi" w:hAnsi="Consolas" w:cstheme="minorBidi"/>
      <w:kern w:val="2"/>
    </w:rPr>
  </w:style>
  <w:style w:type="character" w:customStyle="1" w:styleId="KeywordTok">
    <w:name w:val="KeywordTok"/>
    <w:basedOn w:val="VerbatimChar"/>
    <w:rsid w:val="00C64789"/>
    <w:rPr>
      <w:b/>
      <w:color w:val="007020"/>
    </w:rPr>
  </w:style>
  <w:style w:type="character" w:customStyle="1" w:styleId="DataTypeTok">
    <w:name w:val="DataTypeTok"/>
    <w:basedOn w:val="VerbatimChar"/>
    <w:rsid w:val="00C64789"/>
    <w:rPr>
      <w:color w:val="902000"/>
    </w:rPr>
  </w:style>
  <w:style w:type="character" w:customStyle="1" w:styleId="DecValTok">
    <w:name w:val="DecValTok"/>
    <w:basedOn w:val="VerbatimChar"/>
    <w:rsid w:val="00C64789"/>
    <w:rPr>
      <w:color w:val="40A070"/>
    </w:rPr>
  </w:style>
  <w:style w:type="character" w:customStyle="1" w:styleId="BaseNTok">
    <w:name w:val="BaseNTok"/>
    <w:basedOn w:val="VerbatimChar"/>
    <w:rsid w:val="00C64789"/>
    <w:rPr>
      <w:color w:val="40A070"/>
    </w:rPr>
  </w:style>
  <w:style w:type="character" w:customStyle="1" w:styleId="FloatTok">
    <w:name w:val="FloatTok"/>
    <w:basedOn w:val="VerbatimChar"/>
    <w:rsid w:val="00C64789"/>
    <w:rPr>
      <w:color w:val="40A070"/>
    </w:rPr>
  </w:style>
  <w:style w:type="character" w:customStyle="1" w:styleId="ConstantTok">
    <w:name w:val="ConstantTok"/>
    <w:basedOn w:val="VerbatimChar"/>
    <w:rsid w:val="00C64789"/>
    <w:rPr>
      <w:color w:val="880000"/>
    </w:rPr>
  </w:style>
  <w:style w:type="character" w:customStyle="1" w:styleId="CharTok">
    <w:name w:val="CharTok"/>
    <w:basedOn w:val="VerbatimChar"/>
    <w:rsid w:val="00C64789"/>
    <w:rPr>
      <w:color w:val="4070A0"/>
    </w:rPr>
  </w:style>
  <w:style w:type="character" w:customStyle="1" w:styleId="SpecialCharTok">
    <w:name w:val="SpecialCharTok"/>
    <w:basedOn w:val="VerbatimChar"/>
    <w:rsid w:val="00C64789"/>
    <w:rPr>
      <w:color w:val="4070A0"/>
    </w:rPr>
  </w:style>
  <w:style w:type="character" w:customStyle="1" w:styleId="StringTok">
    <w:name w:val="StringTok"/>
    <w:basedOn w:val="VerbatimChar"/>
    <w:rsid w:val="00C64789"/>
    <w:rPr>
      <w:color w:val="4070A0"/>
    </w:rPr>
  </w:style>
  <w:style w:type="character" w:customStyle="1" w:styleId="VerbatimStringTok">
    <w:name w:val="VerbatimStringTok"/>
    <w:basedOn w:val="VerbatimChar"/>
    <w:rsid w:val="00C64789"/>
    <w:rPr>
      <w:color w:val="4070A0"/>
    </w:rPr>
  </w:style>
  <w:style w:type="character" w:customStyle="1" w:styleId="SpecialStringTok">
    <w:name w:val="SpecialStringTok"/>
    <w:basedOn w:val="VerbatimChar"/>
    <w:rsid w:val="00C64789"/>
    <w:rPr>
      <w:color w:val="BB6688"/>
    </w:rPr>
  </w:style>
  <w:style w:type="character" w:customStyle="1" w:styleId="ImportTok">
    <w:name w:val="ImportTok"/>
    <w:basedOn w:val="VerbatimChar"/>
    <w:rsid w:val="00C64789"/>
    <w:rPr>
      <w:b/>
      <w:color w:val="008000"/>
    </w:rPr>
  </w:style>
  <w:style w:type="character" w:customStyle="1" w:styleId="CommentTok">
    <w:name w:val="CommentTok"/>
    <w:basedOn w:val="VerbatimChar"/>
    <w:rsid w:val="00C64789"/>
    <w:rPr>
      <w:i/>
      <w:color w:val="60A0B0"/>
    </w:rPr>
  </w:style>
  <w:style w:type="character" w:customStyle="1" w:styleId="DocumentationTok">
    <w:name w:val="DocumentationTok"/>
    <w:basedOn w:val="VerbatimChar"/>
    <w:rsid w:val="00C64789"/>
    <w:rPr>
      <w:i/>
      <w:color w:val="BA2121"/>
    </w:rPr>
  </w:style>
  <w:style w:type="character" w:customStyle="1" w:styleId="AnnotationTok">
    <w:name w:val="AnnotationTok"/>
    <w:basedOn w:val="VerbatimChar"/>
    <w:rsid w:val="00C64789"/>
    <w:rPr>
      <w:b/>
      <w:i/>
      <w:color w:val="60A0B0"/>
    </w:rPr>
  </w:style>
  <w:style w:type="character" w:customStyle="1" w:styleId="CommentVarTok">
    <w:name w:val="CommentVarTok"/>
    <w:basedOn w:val="VerbatimChar"/>
    <w:rsid w:val="00C64789"/>
    <w:rPr>
      <w:b/>
      <w:i/>
      <w:color w:val="60A0B0"/>
    </w:rPr>
  </w:style>
  <w:style w:type="character" w:customStyle="1" w:styleId="OtherTok">
    <w:name w:val="OtherTok"/>
    <w:basedOn w:val="VerbatimChar"/>
    <w:rsid w:val="00C64789"/>
    <w:rPr>
      <w:color w:val="007020"/>
    </w:rPr>
  </w:style>
  <w:style w:type="character" w:customStyle="1" w:styleId="FunctionTok">
    <w:name w:val="FunctionTok"/>
    <w:basedOn w:val="VerbatimChar"/>
    <w:rsid w:val="00C64789"/>
    <w:rPr>
      <w:color w:val="06287E"/>
    </w:rPr>
  </w:style>
  <w:style w:type="character" w:customStyle="1" w:styleId="VariableTok">
    <w:name w:val="VariableTok"/>
    <w:basedOn w:val="VerbatimChar"/>
    <w:rsid w:val="00C64789"/>
    <w:rPr>
      <w:color w:val="19177C"/>
    </w:rPr>
  </w:style>
  <w:style w:type="character" w:customStyle="1" w:styleId="ControlFlowTok">
    <w:name w:val="ControlFlowTok"/>
    <w:basedOn w:val="VerbatimChar"/>
    <w:rsid w:val="00C64789"/>
    <w:rPr>
      <w:b/>
      <w:color w:val="007020"/>
    </w:rPr>
  </w:style>
  <w:style w:type="character" w:customStyle="1" w:styleId="OperatorTok">
    <w:name w:val="OperatorTok"/>
    <w:basedOn w:val="VerbatimChar"/>
    <w:rsid w:val="00C64789"/>
    <w:rPr>
      <w:color w:val="666666"/>
    </w:rPr>
  </w:style>
  <w:style w:type="character" w:customStyle="1" w:styleId="BuiltInTok">
    <w:name w:val="BuiltInTok"/>
    <w:basedOn w:val="VerbatimChar"/>
    <w:rsid w:val="00C64789"/>
    <w:rPr>
      <w:color w:val="008000"/>
    </w:rPr>
  </w:style>
  <w:style w:type="character" w:customStyle="1" w:styleId="ExtensionTok">
    <w:name w:val="ExtensionTok"/>
    <w:basedOn w:val="VerbatimChar"/>
    <w:rsid w:val="00C64789"/>
  </w:style>
  <w:style w:type="character" w:customStyle="1" w:styleId="PreprocessorTok">
    <w:name w:val="PreprocessorTok"/>
    <w:basedOn w:val="VerbatimChar"/>
    <w:rsid w:val="00C64789"/>
    <w:rPr>
      <w:color w:val="BC7A00"/>
    </w:rPr>
  </w:style>
  <w:style w:type="character" w:customStyle="1" w:styleId="AttributeTok">
    <w:name w:val="AttributeTok"/>
    <w:basedOn w:val="VerbatimChar"/>
    <w:rsid w:val="00C64789"/>
    <w:rPr>
      <w:color w:val="7D9029"/>
    </w:rPr>
  </w:style>
  <w:style w:type="character" w:customStyle="1" w:styleId="RegionMarkerTok">
    <w:name w:val="RegionMarkerTok"/>
    <w:basedOn w:val="VerbatimChar"/>
    <w:rsid w:val="00C64789"/>
  </w:style>
  <w:style w:type="character" w:customStyle="1" w:styleId="InformationTok">
    <w:name w:val="InformationTok"/>
    <w:basedOn w:val="VerbatimChar"/>
    <w:rsid w:val="00C64789"/>
    <w:rPr>
      <w:b/>
      <w:i/>
      <w:color w:val="60A0B0"/>
    </w:rPr>
  </w:style>
  <w:style w:type="character" w:customStyle="1" w:styleId="WarningTok">
    <w:name w:val="WarningTok"/>
    <w:basedOn w:val="VerbatimChar"/>
    <w:rsid w:val="00C64789"/>
    <w:rPr>
      <w:b/>
      <w:i/>
      <w:color w:val="60A0B0"/>
    </w:rPr>
  </w:style>
  <w:style w:type="character" w:customStyle="1" w:styleId="AlertTok">
    <w:name w:val="AlertTok"/>
    <w:basedOn w:val="VerbatimChar"/>
    <w:rsid w:val="00C64789"/>
    <w:rPr>
      <w:b/>
      <w:color w:val="FF0000"/>
    </w:rPr>
  </w:style>
  <w:style w:type="character" w:customStyle="1" w:styleId="ErrorTok">
    <w:name w:val="ErrorTok"/>
    <w:basedOn w:val="VerbatimChar"/>
    <w:rsid w:val="00C64789"/>
    <w:rPr>
      <w:b/>
      <w:color w:val="FF0000"/>
    </w:rPr>
  </w:style>
  <w:style w:type="character" w:customStyle="1" w:styleId="NormalTok">
    <w:name w:val="NormalTok"/>
    <w:basedOn w:val="VerbatimChar"/>
    <w:rsid w:val="00C64789"/>
  </w:style>
  <w:style w:type="paragraph" w:styleId="BodyText2">
    <w:name w:val="Body Text 2"/>
    <w:basedOn w:val="Normal"/>
    <w:link w:val="BodyText2Char"/>
    <w:rsid w:val="004C1F83"/>
    <w:pPr>
      <w:spacing w:after="0" w:line="360" w:lineRule="auto"/>
      <w:jc w:val="both"/>
    </w:pPr>
    <w:rPr>
      <w:rFonts w:ascii="Times New Roman" w:eastAsia="Times New Roman" w:hAnsi="Times New Roman" w:cs="Calibri"/>
      <w:sz w:val="24"/>
      <w:szCs w:val="24"/>
      <w:lang w:val="fil-PH" w:eastAsia="fil-PH"/>
    </w:rPr>
  </w:style>
  <w:style w:type="character" w:customStyle="1" w:styleId="BodyText2Char">
    <w:name w:val="Body Text 2 Char"/>
    <w:basedOn w:val="DefaultParagraphFont"/>
    <w:link w:val="BodyText2"/>
    <w:rsid w:val="004C1F83"/>
    <w:rPr>
      <w:rFonts w:ascii="Times New Roman" w:eastAsia="Times New Roman" w:hAnsi="Times New Roman" w:cs="Calibri"/>
      <w:kern w:val="0"/>
      <w:sz w:val="24"/>
      <w:szCs w:val="24"/>
      <w:lang w:val="fil-PH" w:eastAsia="fil-PH"/>
    </w:rPr>
  </w:style>
  <w:style w:type="paragraph" w:styleId="BodyText3">
    <w:name w:val="Body Text 3"/>
    <w:basedOn w:val="Normal"/>
    <w:link w:val="BodyText3Char"/>
    <w:qFormat/>
    <w:rsid w:val="004C1F83"/>
    <w:pPr>
      <w:spacing w:after="0" w:line="240" w:lineRule="auto"/>
    </w:pPr>
    <w:rPr>
      <w:rFonts w:ascii="Times New Roman" w:eastAsia="Times New Roman" w:hAnsi="Times New Roman" w:cs="Calibri"/>
      <w:sz w:val="28"/>
      <w:szCs w:val="24"/>
      <w:lang w:val="fil-PH" w:eastAsia="fil-PH"/>
    </w:rPr>
  </w:style>
  <w:style w:type="character" w:customStyle="1" w:styleId="BodyText3Char">
    <w:name w:val="Body Text 3 Char"/>
    <w:basedOn w:val="DefaultParagraphFont"/>
    <w:link w:val="BodyText3"/>
    <w:qFormat/>
    <w:rsid w:val="004C1F83"/>
    <w:rPr>
      <w:rFonts w:ascii="Times New Roman" w:eastAsia="Times New Roman" w:hAnsi="Times New Roman" w:cs="Calibri"/>
      <w:kern w:val="0"/>
      <w:sz w:val="28"/>
      <w:szCs w:val="24"/>
      <w:lang w:val="fil-PH" w:eastAsia="fil-PH"/>
    </w:rPr>
  </w:style>
  <w:style w:type="paragraph" w:styleId="BodyTextIndent">
    <w:name w:val="Body Text Indent"/>
    <w:basedOn w:val="Normal"/>
    <w:link w:val="BodyTextIndentChar"/>
    <w:rsid w:val="004C1F83"/>
    <w:pPr>
      <w:spacing w:after="0" w:line="360" w:lineRule="auto"/>
      <w:ind w:left="5040" w:hanging="5040"/>
      <w:jc w:val="both"/>
    </w:pPr>
    <w:rPr>
      <w:rFonts w:ascii="Times New Roman" w:eastAsia="Times New Roman" w:hAnsi="Times New Roman" w:cs="Calibri"/>
      <w:sz w:val="24"/>
      <w:szCs w:val="24"/>
      <w:lang w:val="fil-PH" w:eastAsia="fil-PH"/>
    </w:rPr>
  </w:style>
  <w:style w:type="character" w:customStyle="1" w:styleId="BodyTextIndentChar">
    <w:name w:val="Body Text Indent Char"/>
    <w:basedOn w:val="DefaultParagraphFont"/>
    <w:link w:val="BodyTextIndent"/>
    <w:rsid w:val="004C1F83"/>
    <w:rPr>
      <w:rFonts w:ascii="Times New Roman" w:eastAsia="Times New Roman" w:hAnsi="Times New Roman" w:cs="Calibri"/>
      <w:kern w:val="0"/>
      <w:sz w:val="24"/>
      <w:szCs w:val="24"/>
      <w:lang w:val="fil-PH" w:eastAsia="fil-PH"/>
    </w:rPr>
  </w:style>
  <w:style w:type="paragraph" w:styleId="BodyTextIndent2">
    <w:name w:val="Body Text Indent 2"/>
    <w:basedOn w:val="Normal"/>
    <w:link w:val="BodyTextIndent2Char"/>
    <w:qFormat/>
    <w:rsid w:val="004C1F83"/>
    <w:pPr>
      <w:spacing w:after="0" w:line="360" w:lineRule="auto"/>
      <w:ind w:firstLine="1440"/>
      <w:jc w:val="both"/>
    </w:pPr>
    <w:rPr>
      <w:rFonts w:ascii="Times New Roman" w:eastAsia="Times New Roman" w:hAnsi="Times New Roman" w:cs="Calibri"/>
      <w:sz w:val="28"/>
      <w:szCs w:val="24"/>
      <w:lang w:val="fil-PH" w:eastAsia="fil-PH"/>
    </w:rPr>
  </w:style>
  <w:style w:type="character" w:customStyle="1" w:styleId="BodyTextIndent2Char">
    <w:name w:val="Body Text Indent 2 Char"/>
    <w:basedOn w:val="DefaultParagraphFont"/>
    <w:link w:val="BodyTextIndent2"/>
    <w:qFormat/>
    <w:rsid w:val="004C1F83"/>
    <w:rPr>
      <w:rFonts w:ascii="Times New Roman" w:eastAsia="Times New Roman" w:hAnsi="Times New Roman" w:cs="Calibri"/>
      <w:kern w:val="0"/>
      <w:sz w:val="28"/>
      <w:szCs w:val="24"/>
      <w:lang w:val="fil-PH" w:eastAsia="fil-PH"/>
    </w:rPr>
  </w:style>
  <w:style w:type="paragraph" w:styleId="BodyTextIndent3">
    <w:name w:val="Body Text Indent 3"/>
    <w:basedOn w:val="Normal"/>
    <w:link w:val="BodyTextIndent3Char"/>
    <w:qFormat/>
    <w:rsid w:val="004C1F83"/>
    <w:pPr>
      <w:spacing w:after="0" w:line="240" w:lineRule="auto"/>
      <w:ind w:left="720" w:firstLine="720"/>
      <w:jc w:val="both"/>
    </w:pPr>
    <w:rPr>
      <w:rFonts w:ascii="Times New Roman" w:eastAsia="Times New Roman" w:hAnsi="Times New Roman" w:cs="Calibri"/>
      <w:sz w:val="28"/>
      <w:szCs w:val="24"/>
      <w:lang w:val="fil-PH" w:eastAsia="fil-PH"/>
    </w:rPr>
  </w:style>
  <w:style w:type="character" w:customStyle="1" w:styleId="BodyTextIndent3Char">
    <w:name w:val="Body Text Indent 3 Char"/>
    <w:basedOn w:val="DefaultParagraphFont"/>
    <w:link w:val="BodyTextIndent3"/>
    <w:qFormat/>
    <w:rsid w:val="004C1F83"/>
    <w:rPr>
      <w:rFonts w:ascii="Times New Roman" w:eastAsia="Times New Roman" w:hAnsi="Times New Roman" w:cs="Calibri"/>
      <w:kern w:val="0"/>
      <w:sz w:val="28"/>
      <w:szCs w:val="24"/>
      <w:lang w:val="fil-PH" w:eastAsia="fil-PH"/>
    </w:rPr>
  </w:style>
  <w:style w:type="character" w:customStyle="1" w:styleId="meta-author">
    <w:name w:val="meta-author"/>
    <w:rsid w:val="004C1F83"/>
  </w:style>
  <w:style w:type="character" w:customStyle="1" w:styleId="meta-date">
    <w:name w:val="meta-date"/>
    <w:rsid w:val="004C1F83"/>
  </w:style>
  <w:style w:type="paragraph" w:customStyle="1" w:styleId="misc">
    <w:name w:val="misc"/>
    <w:basedOn w:val="Normal"/>
    <w:rsid w:val="004C1F83"/>
    <w:pPr>
      <w:spacing w:before="100" w:beforeAutospacing="1" w:after="100" w:afterAutospacing="1" w:line="240" w:lineRule="auto"/>
    </w:pPr>
    <w:rPr>
      <w:rFonts w:ascii="Times New Roman" w:eastAsia="Times New Roman" w:hAnsi="Times New Roman" w:cs="Calibri"/>
      <w:sz w:val="24"/>
      <w:szCs w:val="24"/>
    </w:rPr>
  </w:style>
  <w:style w:type="paragraph" w:customStyle="1" w:styleId="subject">
    <w:name w:val="subject"/>
    <w:basedOn w:val="Normal"/>
    <w:rsid w:val="004C1F83"/>
    <w:pPr>
      <w:spacing w:before="100" w:beforeAutospacing="1" w:after="100" w:afterAutospacing="1" w:line="240" w:lineRule="auto"/>
    </w:pPr>
    <w:rPr>
      <w:rFonts w:ascii="Times New Roman" w:eastAsia="Times New Roman" w:hAnsi="Times New Roman" w:cs="Calibri"/>
      <w:sz w:val="24"/>
      <w:szCs w:val="24"/>
    </w:rPr>
  </w:style>
  <w:style w:type="paragraph" w:styleId="z-TopofForm">
    <w:name w:val="HTML Top of Form"/>
    <w:basedOn w:val="Normal"/>
    <w:next w:val="Normal"/>
    <w:link w:val="z-TopofFormChar"/>
    <w:rsid w:val="004C1F83"/>
    <w:pPr>
      <w:pBdr>
        <w:bottom w:val="single" w:sz="6" w:space="1" w:color="auto"/>
      </w:pBdr>
      <w:spacing w:after="0" w:line="240" w:lineRule="auto"/>
      <w:jc w:val="center"/>
    </w:pPr>
    <w:rPr>
      <w:rFonts w:ascii="Arial" w:eastAsia="Times New Roman" w:hAnsi="Arial" w:cs="Calibri"/>
      <w:vanish/>
      <w:sz w:val="16"/>
      <w:szCs w:val="16"/>
      <w:lang w:val="fil-PH" w:eastAsia="fil-PH"/>
    </w:rPr>
  </w:style>
  <w:style w:type="character" w:customStyle="1" w:styleId="z-TopofFormChar">
    <w:name w:val="z-Top of Form Char"/>
    <w:basedOn w:val="DefaultParagraphFont"/>
    <w:link w:val="z-TopofForm"/>
    <w:rsid w:val="004C1F83"/>
    <w:rPr>
      <w:rFonts w:ascii="Arial" w:eastAsia="Times New Roman" w:hAnsi="Arial" w:cs="Calibri"/>
      <w:vanish/>
      <w:kern w:val="0"/>
      <w:sz w:val="16"/>
      <w:szCs w:val="16"/>
      <w:lang w:val="fil-PH" w:eastAsia="fil-PH"/>
    </w:rPr>
  </w:style>
  <w:style w:type="character" w:customStyle="1" w:styleId="button-text">
    <w:name w:val="button-text"/>
    <w:rsid w:val="004C1F83"/>
  </w:style>
  <w:style w:type="paragraph" w:styleId="z-BottomofForm">
    <w:name w:val="HTML Bottom of Form"/>
    <w:basedOn w:val="Normal"/>
    <w:next w:val="Normal"/>
    <w:link w:val="z-BottomofFormChar"/>
    <w:rsid w:val="004C1F83"/>
    <w:pPr>
      <w:pBdr>
        <w:top w:val="single" w:sz="6" w:space="1" w:color="auto"/>
      </w:pBdr>
      <w:spacing w:after="0" w:line="240" w:lineRule="auto"/>
      <w:jc w:val="center"/>
    </w:pPr>
    <w:rPr>
      <w:rFonts w:ascii="Arial" w:eastAsia="Times New Roman" w:hAnsi="Arial" w:cs="Calibri"/>
      <w:vanish/>
      <w:sz w:val="16"/>
      <w:szCs w:val="16"/>
      <w:lang w:val="fil-PH" w:eastAsia="fil-PH"/>
    </w:rPr>
  </w:style>
  <w:style w:type="character" w:customStyle="1" w:styleId="z-BottomofFormChar">
    <w:name w:val="z-Bottom of Form Char"/>
    <w:basedOn w:val="DefaultParagraphFont"/>
    <w:link w:val="z-BottomofForm"/>
    <w:rsid w:val="004C1F83"/>
    <w:rPr>
      <w:rFonts w:ascii="Arial" w:eastAsia="Times New Roman" w:hAnsi="Arial" w:cs="Calibri"/>
      <w:vanish/>
      <w:kern w:val="0"/>
      <w:sz w:val="16"/>
      <w:szCs w:val="16"/>
      <w:lang w:val="fil-PH" w:eastAsia="fil-PH"/>
    </w:rPr>
  </w:style>
  <w:style w:type="character" w:customStyle="1" w:styleId="comment-caption">
    <w:name w:val="comment-caption"/>
    <w:rsid w:val="004C1F83"/>
  </w:style>
  <w:style w:type="character" w:customStyle="1" w:styleId="xref-sep">
    <w:name w:val="xref-sep"/>
    <w:rsid w:val="004C1F83"/>
  </w:style>
  <w:style w:type="paragraph" w:customStyle="1" w:styleId="sciencepg-text">
    <w:name w:val="sciencepg-text"/>
    <w:basedOn w:val="Normal"/>
    <w:rsid w:val="004C1F83"/>
    <w:pPr>
      <w:spacing w:before="100" w:beforeAutospacing="1" w:after="100" w:afterAutospacing="1" w:line="240" w:lineRule="auto"/>
    </w:pPr>
    <w:rPr>
      <w:rFonts w:ascii="Times New Roman" w:eastAsia="Times New Roman" w:hAnsi="Times New Roman" w:cs="Calibri"/>
      <w:sz w:val="24"/>
      <w:szCs w:val="24"/>
    </w:rPr>
  </w:style>
  <w:style w:type="paragraph" w:customStyle="1" w:styleId="sciencepg-level1-single-line">
    <w:name w:val="sciencepg-level1-single-line"/>
    <w:basedOn w:val="Normal"/>
    <w:rsid w:val="004C1F83"/>
    <w:pPr>
      <w:spacing w:before="100" w:beforeAutospacing="1" w:after="100" w:afterAutospacing="1" w:line="240" w:lineRule="auto"/>
    </w:pPr>
    <w:rPr>
      <w:rFonts w:ascii="Times New Roman" w:eastAsia="Times New Roman" w:hAnsi="Times New Roman" w:cs="Calibri"/>
      <w:sz w:val="24"/>
      <w:szCs w:val="24"/>
    </w:rPr>
  </w:style>
  <w:style w:type="table" w:customStyle="1" w:styleId="TableGrid2">
    <w:name w:val="Table Grid2"/>
    <w:basedOn w:val="TableNormal"/>
    <w:uiPriority w:val="59"/>
    <w:rsid w:val="004C1F83"/>
    <w:pPr>
      <w:spacing w:after="0" w:line="240" w:lineRule="auto"/>
    </w:pPr>
    <w:rPr>
      <w:rFonts w:ascii="Calibri" w:eastAsia="Calibri" w:hAnsi="Calibri" w:cs="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ParagraphChar">
    <w:name w:val="List Paragraph Char"/>
    <w:aliases w:val="BPList Char"/>
    <w:link w:val="ListParagraph"/>
    <w:uiPriority w:val="34"/>
    <w:locked/>
    <w:rsid w:val="004C1F83"/>
    <w:rPr>
      <w:kern w:val="0"/>
      <w:lang w:val="pt-PT"/>
    </w:rPr>
  </w:style>
  <w:style w:type="numbering" w:customStyle="1" w:styleId="NoList11">
    <w:name w:val="No List11"/>
    <w:next w:val="NoList"/>
    <w:uiPriority w:val="99"/>
    <w:semiHidden/>
    <w:unhideWhenUsed/>
    <w:rsid w:val="004C1F83"/>
  </w:style>
  <w:style w:type="table" w:customStyle="1" w:styleId="TableGrid21">
    <w:name w:val="Table Grid21"/>
    <w:basedOn w:val="TableNormal"/>
    <w:next w:val="TableGrid"/>
    <w:uiPriority w:val="59"/>
    <w:rsid w:val="004C1F83"/>
    <w:pPr>
      <w:spacing w:after="0" w:line="240" w:lineRule="auto"/>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4C1F83"/>
  </w:style>
  <w:style w:type="table" w:customStyle="1" w:styleId="TableGrid3">
    <w:name w:val="Table Grid3"/>
    <w:basedOn w:val="TableNormal"/>
    <w:next w:val="TableGrid"/>
    <w:uiPriority w:val="39"/>
    <w:qFormat/>
    <w:rsid w:val="004C1F83"/>
    <w:pPr>
      <w:spacing w:after="0" w:line="240" w:lineRule="auto"/>
    </w:pPr>
    <w:rPr>
      <w:rFonts w:ascii="Calibri" w:eastAsia="Calibri"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ollowedHyperlink">
    <w:name w:val="FollowedHyperlink"/>
    <w:uiPriority w:val="99"/>
    <w:unhideWhenUsed/>
    <w:qFormat/>
    <w:rsid w:val="004C1F83"/>
    <w:rPr>
      <w:color w:val="800080"/>
      <w:u w:val="single"/>
    </w:rPr>
  </w:style>
  <w:style w:type="table" w:styleId="LightGrid-Accent3">
    <w:name w:val="Light Grid Accent 3"/>
    <w:basedOn w:val="TableNormal"/>
    <w:uiPriority w:val="67"/>
    <w:qFormat/>
    <w:rsid w:val="004C1F83"/>
    <w:pPr>
      <w:spacing w:after="0" w:line="240" w:lineRule="auto"/>
    </w:pPr>
    <w:rPr>
      <w:rFonts w:ascii="Calibri" w:eastAsia="Calibri" w:hAnsi="Calibri" w:cs="Times New Roman"/>
      <w:kern w:val="0"/>
      <w:sz w:val="20"/>
      <w:szCs w:val="20"/>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rPr>
        <w:rFonts w:cs="Times New Roman"/>
        <w:b/>
        <w:bCs/>
      </w:rPr>
      <w:tblPr/>
      <w:tcPr>
        <w:tcBorders>
          <w:top w:val="single" w:sz="18" w:space="0" w:color="CF7B7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shd w:val="clear" w:color="auto" w:fill="DFA7A6"/>
      </w:tcPr>
    </w:tblStylePr>
    <w:tblStylePr w:type="band1Horz">
      <w:tblPr/>
      <w:tcPr>
        <w:shd w:val="clear" w:color="auto" w:fill="DFA7A6"/>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5">
    <w:name w:val="Light Grid Accent 5"/>
    <w:basedOn w:val="TableNormal"/>
    <w:uiPriority w:val="67"/>
    <w:qFormat/>
    <w:rsid w:val="004C1F83"/>
    <w:pPr>
      <w:spacing w:after="0" w:line="240" w:lineRule="auto"/>
    </w:pPr>
    <w:rPr>
      <w:rFonts w:ascii="Calibri" w:eastAsia="Calibri" w:hAnsi="Calibri" w:cs="Times New Roman"/>
      <w:kern w:val="0"/>
      <w:sz w:val="20"/>
      <w:szCs w:val="20"/>
    </w:rPr>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rPr>
        <w:rFonts w:cs="Times New Roman"/>
        <w:b/>
        <w:bCs/>
      </w:rPr>
      <w:tblPr/>
      <w:tcPr>
        <w:tcBorders>
          <w:top w:val="single" w:sz="18" w:space="0" w:color="9F8AB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shd w:val="clear" w:color="auto" w:fill="BFB1D0"/>
      </w:tcPr>
    </w:tblStylePr>
    <w:tblStylePr w:type="band1Horz">
      <w:tblPr/>
      <w:tcPr>
        <w:shd w:val="clear" w:color="auto" w:fill="BFB1D0"/>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MediumShading1-Accent5">
    <w:name w:val="Medium Shading 1 Accent 5"/>
    <w:basedOn w:val="TableNormal"/>
    <w:uiPriority w:val="68"/>
    <w:qFormat/>
    <w:rsid w:val="004C1F83"/>
    <w:pPr>
      <w:spacing w:after="0" w:line="240" w:lineRule="auto"/>
    </w:pPr>
    <w:rPr>
      <w:rFonts w:ascii="Calibri" w:eastAsia="Calibri" w:hAnsi="Calibri" w:cs="Times New Roman"/>
      <w:kern w:val="0"/>
      <w:sz w:val="20"/>
      <w:szCs w:val="20"/>
    </w:rPr>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FFFFFF"/>
      </w:rPr>
      <w:tblPr/>
      <w:tcPr>
        <w:shd w:val="clear" w:color="auto" w:fill="F2EFF6"/>
      </w:tcPr>
    </w:tblStylePr>
    <w:tblStylePr w:type="lastRow">
      <w:rPr>
        <w:b/>
        <w:bCs/>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shd w:val="clear" w:color="auto" w:fill="BFB1D0"/>
      </w:tcPr>
    </w:tblStylePr>
    <w:tblStylePr w:type="band2Horz">
      <w:tblPr/>
      <w:tcPr>
        <w:tcBorders>
          <w:insideH w:val="nil"/>
          <w:insideV w:val="nil"/>
        </w:tcBorders>
      </w:tcPr>
    </w:tblStylePr>
    <w:tblStylePr w:type="nwCell">
      <w:tblPr/>
      <w:tcPr>
        <w:shd w:val="clear" w:color="auto" w:fill="FFFFFF"/>
      </w:tcPr>
    </w:tblStylePr>
  </w:style>
  <w:style w:type="table" w:styleId="MediumShading2-Accent5">
    <w:name w:val="Medium Shading 2 Accent 5"/>
    <w:basedOn w:val="TableNormal"/>
    <w:uiPriority w:val="69"/>
    <w:qFormat/>
    <w:rsid w:val="004C1F83"/>
    <w:pPr>
      <w:spacing w:after="0" w:line="240" w:lineRule="auto"/>
    </w:pPr>
    <w:rPr>
      <w:rFonts w:ascii="Calibri" w:eastAsia="Calibri" w:hAnsi="Calibri" w:cs="Times New Roman"/>
      <w:kern w:val="0"/>
      <w:sz w:val="20"/>
      <w:szCs w:val="20"/>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color w:val="auto"/>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Accent5">
    <w:name w:val="Medium List 1 Accent 5"/>
    <w:basedOn w:val="TableNormal"/>
    <w:uiPriority w:val="70"/>
    <w:qFormat/>
    <w:rsid w:val="004C1F83"/>
    <w:pPr>
      <w:spacing w:after="0" w:line="240" w:lineRule="auto"/>
    </w:pPr>
    <w:rPr>
      <w:rFonts w:ascii="Calibri" w:eastAsia="Calibri" w:hAnsi="Calibri" w:cs="Times New Roman"/>
      <w:kern w:val="0"/>
      <w:sz w:val="20"/>
      <w:szCs w:val="20"/>
    </w:rPr>
    <w:tblPr>
      <w:tblInd w:w="0" w:type="dxa"/>
      <w:tblCellMar>
        <w:top w:w="0" w:type="dxa"/>
        <w:left w:w="108" w:type="dxa"/>
        <w:bottom w:w="0" w:type="dxa"/>
        <w:right w:w="108" w:type="dxa"/>
      </w:tblCellMar>
    </w:tblPr>
    <w:tcPr>
      <w:shd w:val="clear" w:color="auto" w:fill="8064A2"/>
    </w:tcPr>
    <w:tblStylePr w:type="firstRow">
      <w:rPr>
        <w:rFonts w:cs="Times New Roman"/>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b/>
        <w:bCs/>
        <w:color w:val="1F497D"/>
      </w:rPr>
      <w:tblPr/>
      <w:tcPr>
        <w:tcBorders>
          <w:top w:val="single" w:sz="18" w:space="0" w:color="FFFFFF"/>
          <w:left w:val="nil"/>
          <w:bottom w:val="nil"/>
          <w:right w:val="nil"/>
          <w:insideH w:val="nil"/>
          <w:insideV w:val="nil"/>
          <w:tl2br w:val="nil"/>
          <w:tr2bl w:val="nil"/>
        </w:tcBorders>
        <w:shd w:val="clear" w:color="auto" w:fill="3F3151"/>
      </w:tcPr>
    </w:tblStylePr>
    <w:tblStylePr w:type="firstCol">
      <w:rPr>
        <w:b/>
        <w:bCs/>
      </w:rPr>
      <w:tblPr/>
      <w:tcPr>
        <w:tcBorders>
          <w:top w:val="nil"/>
          <w:left w:val="nil"/>
          <w:bottom w:val="nil"/>
          <w:right w:val="single" w:sz="18" w:space="0" w:color="FFFFFF"/>
          <w:insideH w:val="nil"/>
          <w:insideV w:val="nil"/>
          <w:tl2br w:val="nil"/>
          <w:tr2bl w:val="nil"/>
        </w:tcBorders>
        <w:shd w:val="clear" w:color="auto" w:fill="5F497A"/>
      </w:tcPr>
    </w:tblStylePr>
    <w:tblStylePr w:type="lastCol">
      <w:rPr>
        <w:b/>
        <w:bCs/>
      </w:rPr>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styleId="MediumList2-Accent3">
    <w:name w:val="Medium List 2 Accent 3"/>
    <w:basedOn w:val="TableNormal"/>
    <w:uiPriority w:val="71"/>
    <w:qFormat/>
    <w:rsid w:val="004C1F83"/>
    <w:pPr>
      <w:spacing w:after="0" w:line="240" w:lineRule="auto"/>
    </w:pPr>
    <w:rPr>
      <w:rFonts w:ascii="Calibri" w:eastAsia="Calibri" w:hAnsi="Calibri" w:cs="Times New Roman"/>
      <w:kern w:val="0"/>
      <w:sz w:val="20"/>
      <w:szCs w:val="20"/>
    </w:rPr>
    <w:tblPr>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6" w:space="0" w:color="FFFFFF"/>
          <w:left w:val="nil"/>
          <w:bottom w:val="nil"/>
          <w:right w:val="nil"/>
          <w:insideH w:val="nil"/>
          <w:insideV w:val="nil"/>
          <w:tl2br w:val="nil"/>
          <w:tr2bl w:val="nil"/>
        </w:tcBorders>
        <w:shd w:val="clear" w:color="auto" w:fill="772C2A"/>
      </w:tcPr>
    </w:tblStylePr>
    <w:tblStylePr w:type="firstCol">
      <w:tblPr/>
      <w:tcPr>
        <w:tcBorders>
          <w:top w:val="nil"/>
          <w:left w:val="nil"/>
          <w:bottom w:val="nil"/>
          <w:right w:val="nil"/>
          <w:insideH w:val="single" w:sz="4" w:space="0" w:color="auto"/>
          <w:insideV w:val="nil"/>
          <w:tl2br w:val="nil"/>
          <w:tr2bl w:val="nil"/>
        </w:tcBorders>
        <w:shd w:val="clear" w:color="auto" w:fill="772C2A"/>
      </w:tcPr>
    </w:tblStylePr>
    <w:tblStylePr w:type="lastCol">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wCell">
      <w:tblPr/>
      <w:tcPr>
        <w:shd w:val="clear" w:color="auto" w:fill="FFFFFF"/>
      </w:tcPr>
    </w:tblStylePr>
    <w:tblStylePr w:type="swCell">
      <w:tblPr/>
      <w:tcPr>
        <w:tcBorders>
          <w:top w:val="nil"/>
        </w:tcBorders>
      </w:tcPr>
    </w:tblStylePr>
  </w:style>
  <w:style w:type="table" w:styleId="MediumGrid3-Accent2">
    <w:name w:val="Medium Grid 3 Accent 2"/>
    <w:basedOn w:val="TableNormal"/>
    <w:uiPriority w:val="60"/>
    <w:qFormat/>
    <w:rsid w:val="004C1F83"/>
    <w:pPr>
      <w:spacing w:after="0" w:line="240" w:lineRule="auto"/>
    </w:pPr>
    <w:rPr>
      <w:rFonts w:ascii="Calibri" w:eastAsia="Calibri" w:hAnsi="Calibri" w:cs="Times New Roman"/>
      <w:kern w:val="0"/>
      <w:sz w:val="20"/>
      <w:szCs w:val="20"/>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la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DarkList-Accent2">
    <w:name w:val="Dark List Accent 2"/>
    <w:basedOn w:val="TableNormal"/>
    <w:uiPriority w:val="61"/>
    <w:qFormat/>
    <w:rsid w:val="004C1F83"/>
    <w:pPr>
      <w:spacing w:after="0" w:line="240" w:lineRule="auto"/>
    </w:pPr>
    <w:rPr>
      <w:rFonts w:ascii="Calibri" w:eastAsia="Calibri" w:hAnsi="Calibri" w:cs="Times New Roman"/>
      <w:kern w:val="0"/>
      <w:sz w:val="20"/>
      <w:szCs w:val="20"/>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b/>
        <w:bCs/>
      </w:rPr>
      <w:tblPr/>
      <w:tcPr>
        <w:shd w:val="clear" w:color="auto" w:fill="C0504D"/>
      </w:tcPr>
    </w:tblStylePr>
    <w:tblStylePr w:type="lastRow">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styleId="ColorfulShading-Accent2">
    <w:name w:val="Colorful Shading Accent 2"/>
    <w:basedOn w:val="TableNormal"/>
    <w:uiPriority w:val="62"/>
    <w:qFormat/>
    <w:rsid w:val="004C1F83"/>
    <w:pPr>
      <w:spacing w:after="0" w:line="240" w:lineRule="auto"/>
    </w:pPr>
    <w:rPr>
      <w:rFonts w:ascii="Calibri" w:eastAsia="Calibri" w:hAnsi="Calibri" w:cs="Times New Roman"/>
      <w:kern w:val="0"/>
      <w:sz w:val="20"/>
      <w:szCs w:val="20"/>
    </w:rPr>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rPr>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rPr>
        <w:b/>
        <w:bCs/>
        <w:color w:val="FFFFFF"/>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62"/>
    <w:qFormat/>
    <w:rsid w:val="004C1F83"/>
    <w:pPr>
      <w:spacing w:after="0" w:line="240" w:lineRule="auto"/>
    </w:pPr>
    <w:rPr>
      <w:rFonts w:ascii="Calibri" w:eastAsia="Calibri" w:hAnsi="Calibri" w:cs="Times New Roman"/>
      <w:kern w:val="0"/>
      <w:sz w:val="20"/>
      <w:szCs w:val="20"/>
    </w:rPr>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rPr>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rPr>
        <w:b/>
        <w:bCs/>
        <w:color w:val="FFFFFF"/>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styleId="ColorfulShading-Accent5">
    <w:name w:val="Colorful Shading Accent 5"/>
    <w:basedOn w:val="TableNormal"/>
    <w:uiPriority w:val="62"/>
    <w:qFormat/>
    <w:rsid w:val="004C1F83"/>
    <w:pPr>
      <w:spacing w:after="0" w:line="240" w:lineRule="auto"/>
    </w:pPr>
    <w:rPr>
      <w:rFonts w:ascii="Calibri" w:eastAsia="Calibri" w:hAnsi="Calibri" w:cs="Times New Roman"/>
      <w:kern w:val="0"/>
      <w:sz w:val="20"/>
      <w:szCs w:val="20"/>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rPr>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rPr>
        <w:b/>
        <w:bCs/>
        <w:color w:val="FFFFFF"/>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neCell">
      <w:rPr>
        <w:color w:val="000000"/>
      </w:rPr>
    </w:tblStylePr>
    <w:tblStylePr w:type="nwCell">
      <w:rPr>
        <w:color w:val="000000"/>
      </w:rPr>
    </w:tblStylePr>
  </w:style>
  <w:style w:type="table" w:styleId="ColorfulList-Accent2">
    <w:name w:val="Colorful List Accent 2"/>
    <w:basedOn w:val="TableNormal"/>
    <w:uiPriority w:val="63"/>
    <w:qFormat/>
    <w:rsid w:val="004C1F83"/>
    <w:pPr>
      <w:spacing w:after="0" w:line="240" w:lineRule="auto"/>
    </w:pPr>
    <w:rPr>
      <w:rFonts w:ascii="Calibri" w:eastAsia="Calibri" w:hAnsi="Calibri" w:cs="Times New Roman"/>
      <w:kern w:val="0"/>
      <w:sz w:val="20"/>
      <w:szCs w:val="20"/>
    </w:rPr>
    <w:tblPr>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rPr>
        <w:b/>
        <w:bCs/>
        <w:color w:val="9E3A38"/>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shd w:val="clear" w:color="auto" w:fill="EFD3D2"/>
      </w:tcPr>
    </w:tblStylePr>
  </w:style>
  <w:style w:type="character" w:customStyle="1" w:styleId="term">
    <w:name w:val="term"/>
    <w:qFormat/>
    <w:rsid w:val="004C1F83"/>
  </w:style>
  <w:style w:type="character" w:customStyle="1" w:styleId="hl12">
    <w:name w:val="hl12"/>
    <w:qFormat/>
    <w:rsid w:val="004C1F83"/>
  </w:style>
  <w:style w:type="character" w:customStyle="1" w:styleId="xref1">
    <w:name w:val="xref1"/>
    <w:qFormat/>
    <w:rsid w:val="004C1F83"/>
    <w:rPr>
      <w:spacing w:val="0"/>
      <w:sz w:val="16"/>
      <w:szCs w:val="16"/>
    </w:rPr>
  </w:style>
  <w:style w:type="character" w:customStyle="1" w:styleId="resultbody1">
    <w:name w:val="resultbody1"/>
    <w:qFormat/>
    <w:rsid w:val="004C1F83"/>
    <w:rPr>
      <w:rFonts w:ascii="MS Reference Sans Serif" w:hAnsi="MS Reference Sans Serif" w:hint="default"/>
      <w:color w:val="333333"/>
      <w:sz w:val="22"/>
      <w:szCs w:val="22"/>
    </w:rPr>
  </w:style>
  <w:style w:type="character" w:customStyle="1" w:styleId="bluetab1">
    <w:name w:val="bluetab1"/>
    <w:qFormat/>
    <w:rsid w:val="004C1F83"/>
    <w:rPr>
      <w:rFonts w:ascii="Arial" w:hAnsi="Arial" w:cs="Arial" w:hint="default"/>
      <w:b/>
      <w:bCs/>
      <w:color w:val="FFFFFF"/>
      <w:sz w:val="20"/>
      <w:szCs w:val="20"/>
    </w:rPr>
  </w:style>
  <w:style w:type="character" w:customStyle="1" w:styleId="MediumGrid2Char">
    <w:name w:val="Medium Grid 2 Char"/>
    <w:link w:val="MediumGrid21"/>
    <w:uiPriority w:val="1"/>
    <w:qFormat/>
    <w:rsid w:val="004C1F83"/>
    <w:rPr>
      <w:kern w:val="0"/>
    </w:rPr>
  </w:style>
  <w:style w:type="paragraph" w:customStyle="1" w:styleId="MediumGrid21">
    <w:name w:val="Medium Grid 21"/>
    <w:link w:val="MediumGrid2Char"/>
    <w:uiPriority w:val="1"/>
    <w:qFormat/>
    <w:rsid w:val="004C1F83"/>
    <w:pPr>
      <w:spacing w:after="0" w:line="240" w:lineRule="auto"/>
    </w:pPr>
    <w:rPr>
      <w:kern w:val="0"/>
    </w:rPr>
  </w:style>
  <w:style w:type="paragraph" w:customStyle="1" w:styleId="txt">
    <w:name w:val="txt"/>
    <w:basedOn w:val="Normal"/>
    <w:qFormat/>
    <w:rsid w:val="004C1F83"/>
    <w:pPr>
      <w:spacing w:before="100" w:beforeAutospacing="1" w:after="100" w:afterAutospacing="1" w:line="240" w:lineRule="auto"/>
    </w:pPr>
    <w:rPr>
      <w:rFonts w:ascii="Times New Roman" w:eastAsia="Times New Roman" w:hAnsi="Times New Roman"/>
      <w:sz w:val="24"/>
      <w:szCs w:val="24"/>
      <w:lang w:val="en-PH" w:eastAsia="en-PH"/>
    </w:rPr>
  </w:style>
  <w:style w:type="paragraph" w:customStyle="1" w:styleId="justify">
    <w:name w:val="justify"/>
    <w:basedOn w:val="Normal"/>
    <w:qFormat/>
    <w:rsid w:val="004C1F83"/>
    <w:pPr>
      <w:spacing w:after="75" w:line="240" w:lineRule="auto"/>
      <w:jc w:val="both"/>
    </w:pPr>
    <w:rPr>
      <w:rFonts w:ascii="Times New Roman" w:eastAsia="Times New Roman" w:hAnsi="Times New Roman"/>
      <w:sz w:val="24"/>
      <w:szCs w:val="24"/>
      <w:lang w:val="en-GB" w:eastAsia="en-GB"/>
    </w:rPr>
  </w:style>
  <w:style w:type="character" w:customStyle="1" w:styleId="BalloonTextChar1">
    <w:name w:val="Balloon Text Char1"/>
    <w:uiPriority w:val="99"/>
    <w:qFormat/>
    <w:rsid w:val="004C1F83"/>
    <w:rPr>
      <w:rFonts w:ascii="Tahoma" w:eastAsia="Calibri" w:hAnsi="Tahoma" w:cs="Tahoma"/>
      <w:sz w:val="16"/>
      <w:szCs w:val="16"/>
    </w:rPr>
  </w:style>
  <w:style w:type="character" w:customStyle="1" w:styleId="TitleChar1">
    <w:name w:val="Title Char1"/>
    <w:uiPriority w:val="10"/>
    <w:qFormat/>
    <w:rsid w:val="004C1F83"/>
    <w:rPr>
      <w:rFonts w:ascii="Cambria" w:eastAsia="Times New Roman" w:hAnsi="Cambria" w:cs="Times New Roman"/>
      <w:color w:val="17365D"/>
      <w:spacing w:val="5"/>
      <w:kern w:val="28"/>
      <w:sz w:val="52"/>
      <w:szCs w:val="52"/>
    </w:rPr>
  </w:style>
  <w:style w:type="character" w:customStyle="1" w:styleId="HeaderChar1">
    <w:name w:val="Header Char1"/>
    <w:uiPriority w:val="99"/>
    <w:qFormat/>
    <w:rsid w:val="004C1F83"/>
    <w:rPr>
      <w:rFonts w:ascii="Arial" w:eastAsia="Calibri" w:hAnsi="Arial" w:cs="Times New Roman"/>
      <w:sz w:val="24"/>
    </w:rPr>
  </w:style>
  <w:style w:type="character" w:customStyle="1" w:styleId="FooterChar1">
    <w:name w:val="Footer Char1"/>
    <w:uiPriority w:val="99"/>
    <w:qFormat/>
    <w:rsid w:val="004C1F83"/>
    <w:rPr>
      <w:rFonts w:ascii="Arial" w:eastAsia="Calibri" w:hAnsi="Arial" w:cs="Times New Roman"/>
      <w:sz w:val="24"/>
    </w:rPr>
  </w:style>
  <w:style w:type="character" w:customStyle="1" w:styleId="BodyTextIndent3Char1">
    <w:name w:val="Body Text Indent 3 Char1"/>
    <w:uiPriority w:val="99"/>
    <w:qFormat/>
    <w:rsid w:val="004C1F83"/>
    <w:rPr>
      <w:rFonts w:ascii="Arial" w:eastAsia="Calibri" w:hAnsi="Arial" w:cs="Times New Roman"/>
      <w:sz w:val="16"/>
      <w:szCs w:val="16"/>
    </w:rPr>
  </w:style>
  <w:style w:type="paragraph" w:customStyle="1" w:styleId="listentab1">
    <w:name w:val="listentab1"/>
    <w:basedOn w:val="Normal"/>
    <w:qFormat/>
    <w:rsid w:val="004C1F83"/>
    <w:pPr>
      <w:spacing w:after="300" w:line="240" w:lineRule="atLeast"/>
    </w:pPr>
    <w:rPr>
      <w:rFonts w:ascii="Times New Roman" w:eastAsia="Times New Roman" w:hAnsi="Times New Roman"/>
      <w:sz w:val="24"/>
      <w:szCs w:val="24"/>
      <w:lang w:val="en-GB" w:eastAsia="en-GB"/>
    </w:rPr>
  </w:style>
  <w:style w:type="character" w:customStyle="1" w:styleId="SubtitleChar1">
    <w:name w:val="Subtitle Char1"/>
    <w:uiPriority w:val="11"/>
    <w:qFormat/>
    <w:rsid w:val="004C1F83"/>
    <w:rPr>
      <w:rFonts w:ascii="Cambria" w:eastAsia="Times New Roman" w:hAnsi="Cambria" w:cs="Times New Roman"/>
      <w:i/>
      <w:iCs/>
      <w:color w:val="4F81BD"/>
      <w:spacing w:val="15"/>
      <w:sz w:val="24"/>
      <w:szCs w:val="24"/>
    </w:rPr>
  </w:style>
  <w:style w:type="character" w:customStyle="1" w:styleId="BodyTextIndent2Char1">
    <w:name w:val="Body Text Indent 2 Char1"/>
    <w:uiPriority w:val="99"/>
    <w:qFormat/>
    <w:rsid w:val="004C1F83"/>
    <w:rPr>
      <w:rFonts w:ascii="Arial" w:eastAsia="Calibri" w:hAnsi="Arial" w:cs="Times New Roman"/>
      <w:sz w:val="24"/>
    </w:rPr>
  </w:style>
  <w:style w:type="character" w:customStyle="1" w:styleId="BodyTextChar1">
    <w:name w:val="Body Text Char1"/>
    <w:uiPriority w:val="99"/>
    <w:qFormat/>
    <w:rsid w:val="004C1F83"/>
    <w:rPr>
      <w:rFonts w:ascii="Arial" w:eastAsia="Calibri" w:hAnsi="Arial" w:cs="Times New Roman"/>
      <w:sz w:val="24"/>
    </w:rPr>
  </w:style>
  <w:style w:type="character" w:customStyle="1" w:styleId="BodyText3Char1">
    <w:name w:val="Body Text 3 Char1"/>
    <w:uiPriority w:val="99"/>
    <w:qFormat/>
    <w:rsid w:val="004C1F83"/>
    <w:rPr>
      <w:rFonts w:ascii="Arial" w:eastAsia="Calibri" w:hAnsi="Arial" w:cs="Times New Roman"/>
      <w:sz w:val="16"/>
      <w:szCs w:val="16"/>
    </w:rPr>
  </w:style>
  <w:style w:type="table" w:customStyle="1" w:styleId="LightList-Accent11">
    <w:name w:val="Light List - Accent 11"/>
    <w:basedOn w:val="TableNormal"/>
    <w:uiPriority w:val="61"/>
    <w:qFormat/>
    <w:rsid w:val="004C1F83"/>
    <w:pPr>
      <w:spacing w:after="0" w:line="240" w:lineRule="auto"/>
    </w:pPr>
    <w:rPr>
      <w:rFonts w:ascii="Calibri" w:eastAsia="Calibri" w:hAnsi="Calibri" w:cs="Times New Roman"/>
      <w:kern w:val="0"/>
      <w:sz w:val="20"/>
      <w:szCs w:val="20"/>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tblPr/>
      <w:tcPr>
        <w:shd w:val="clear" w:color="auto" w:fill="4F81BD"/>
      </w:tcPr>
    </w:tblStylePr>
    <w:tblStylePr w:type="lastRow">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DarlingsStyle">
    <w:name w:val="Darling's Style"/>
    <w:basedOn w:val="TableNormal"/>
    <w:uiPriority w:val="99"/>
    <w:qFormat/>
    <w:rsid w:val="004C1F83"/>
    <w:pPr>
      <w:spacing w:after="0" w:line="240" w:lineRule="auto"/>
    </w:pPr>
    <w:rPr>
      <w:rFonts w:ascii="Calibri" w:eastAsia="Calibri" w:hAnsi="Calibri" w:cs="Times New Roman"/>
      <w:kern w:val="0"/>
      <w:sz w:val="20"/>
      <w:szCs w:val="20"/>
    </w:rPr>
    <w:tblPr>
      <w:tblInd w:w="0" w:type="dxa"/>
      <w:tblCellMar>
        <w:top w:w="0" w:type="dxa"/>
        <w:left w:w="108" w:type="dxa"/>
        <w:bottom w:w="0" w:type="dxa"/>
        <w:right w:w="108" w:type="dxa"/>
      </w:tblCellMar>
    </w:tblPr>
  </w:style>
  <w:style w:type="table" w:customStyle="1" w:styleId="LightShading-Accent11">
    <w:name w:val="Light Shading - Accent 11"/>
    <w:basedOn w:val="TableNormal"/>
    <w:uiPriority w:val="60"/>
    <w:qFormat/>
    <w:rsid w:val="004C1F83"/>
    <w:pPr>
      <w:spacing w:after="0" w:line="240" w:lineRule="auto"/>
    </w:pPr>
    <w:rPr>
      <w:rFonts w:ascii="Calibri" w:eastAsia="Calibri" w:hAnsi="Calibri" w:cs="Times New Roman"/>
      <w:kern w:val="0"/>
      <w:sz w:val="20"/>
      <w:szCs w:val="20"/>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tblPr/>
      <w:tcPr>
        <w:tcBorders>
          <w:top w:val="single" w:sz="8" w:space="0" w:color="4F81BD"/>
          <w:left w:val="nil"/>
          <w:bottom w:val="single" w:sz="8" w:space="0" w:color="4F81BD"/>
          <w:right w:val="nil"/>
          <w:insideH w:val="nil"/>
          <w:insideV w:val="nil"/>
          <w:tl2br w:val="nil"/>
          <w:tr2bl w:val="nil"/>
        </w:tcBorders>
      </w:tcPr>
    </w:tblStylePr>
    <w:tblStylePr w:type="lastRow">
      <w:tblPr/>
      <w:tcPr>
        <w:tcBorders>
          <w:top w:val="single" w:sz="8" w:space="0" w:color="4F81BD"/>
          <w:left w:val="nil"/>
          <w:bottom w:val="single" w:sz="8" w:space="0" w:color="4F81BD"/>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customStyle="1" w:styleId="LightGrid-Accent11">
    <w:name w:val="Light Grid - Accent 11"/>
    <w:basedOn w:val="TableNormal"/>
    <w:uiPriority w:val="62"/>
    <w:qFormat/>
    <w:rsid w:val="004C1F83"/>
    <w:pPr>
      <w:spacing w:after="0" w:line="240" w:lineRule="auto"/>
    </w:pPr>
    <w:rPr>
      <w:rFonts w:ascii="Calibri" w:eastAsia="Calibri" w:hAnsi="Calibri" w:cs="Times New Roman"/>
      <w:kern w:val="0"/>
      <w:sz w:val="20"/>
      <w:szCs w:val="20"/>
    </w:rPr>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lastCol">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paragraph" w:customStyle="1" w:styleId="bodytext0">
    <w:name w:val="bodytext"/>
    <w:basedOn w:val="Normal"/>
    <w:qFormat/>
    <w:rsid w:val="004C1F83"/>
    <w:pPr>
      <w:spacing w:before="100" w:beforeAutospacing="1" w:after="100" w:afterAutospacing="1" w:line="240" w:lineRule="auto"/>
    </w:pPr>
    <w:rPr>
      <w:rFonts w:ascii="Times New Roman" w:eastAsia="Times New Roman" w:hAnsi="Times New Roman"/>
      <w:sz w:val="24"/>
      <w:szCs w:val="24"/>
    </w:rPr>
  </w:style>
  <w:style w:type="paragraph" w:customStyle="1" w:styleId="StyleLatinArial11pt">
    <w:name w:val="Style (Latin) Arial 11 pt"/>
    <w:basedOn w:val="Normal"/>
    <w:link w:val="StyleLatinArial11ptChar"/>
    <w:uiPriority w:val="99"/>
    <w:qFormat/>
    <w:rsid w:val="004C1F83"/>
    <w:pPr>
      <w:spacing w:before="40" w:after="40" w:line="240" w:lineRule="auto"/>
    </w:pPr>
    <w:rPr>
      <w:rFonts w:ascii="Arial" w:eastAsia="Cambria" w:hAnsi="Arial" w:cs="Arial"/>
    </w:rPr>
  </w:style>
  <w:style w:type="character" w:customStyle="1" w:styleId="StyleLatinArial11ptChar">
    <w:name w:val="Style (Latin) Arial 11 pt Char"/>
    <w:link w:val="StyleLatinArial11pt"/>
    <w:uiPriority w:val="99"/>
    <w:qFormat/>
    <w:locked/>
    <w:rsid w:val="004C1F83"/>
    <w:rPr>
      <w:rFonts w:ascii="Arial" w:eastAsia="Cambria" w:hAnsi="Arial" w:cs="Arial"/>
      <w:kern w:val="0"/>
    </w:rPr>
  </w:style>
  <w:style w:type="paragraph" w:customStyle="1" w:styleId="ListParagraph11">
    <w:name w:val="List Paragraph11"/>
    <w:basedOn w:val="Normal"/>
    <w:uiPriority w:val="34"/>
    <w:qFormat/>
    <w:rsid w:val="004C1F83"/>
    <w:pPr>
      <w:ind w:left="720"/>
      <w:contextualSpacing/>
    </w:pPr>
  </w:style>
  <w:style w:type="paragraph" w:customStyle="1" w:styleId="TOCHeading1">
    <w:name w:val="TOC Heading1"/>
    <w:basedOn w:val="Heading1"/>
    <w:next w:val="Normal"/>
    <w:uiPriority w:val="39"/>
    <w:unhideWhenUsed/>
    <w:qFormat/>
    <w:rsid w:val="004C1F83"/>
    <w:pPr>
      <w:spacing w:line="256" w:lineRule="auto"/>
      <w:outlineLvl w:val="9"/>
    </w:pPr>
    <w:rPr>
      <w:rFonts w:ascii="Cambria" w:eastAsia="Times New Roman" w:hAnsi="Cambria" w:cs="Times New Roman"/>
      <w:color w:val="365F91"/>
    </w:rPr>
  </w:style>
  <w:style w:type="paragraph" w:customStyle="1" w:styleId="NoSpacing1">
    <w:name w:val="No Spacing1"/>
    <w:uiPriority w:val="1"/>
    <w:qFormat/>
    <w:rsid w:val="004C1F83"/>
    <w:pPr>
      <w:spacing w:after="0" w:line="240" w:lineRule="auto"/>
    </w:pPr>
    <w:rPr>
      <w:rFonts w:ascii="Calibri" w:eastAsia="Calibri" w:hAnsi="Calibri" w:cs="Times New Roman"/>
      <w:kern w:val="0"/>
    </w:rPr>
  </w:style>
  <w:style w:type="paragraph" w:customStyle="1" w:styleId="NoSpacing11">
    <w:name w:val="No Spacing11"/>
    <w:uiPriority w:val="1"/>
    <w:qFormat/>
    <w:rsid w:val="004C1F83"/>
    <w:pPr>
      <w:spacing w:after="0" w:line="240" w:lineRule="auto"/>
    </w:pPr>
    <w:rPr>
      <w:rFonts w:ascii="Calibri" w:eastAsia="Calibri" w:hAnsi="Calibri" w:cs="Times New Roman"/>
      <w:kern w:val="0"/>
    </w:rPr>
  </w:style>
  <w:style w:type="character" w:customStyle="1" w:styleId="element-citation">
    <w:name w:val="element-citation"/>
    <w:basedOn w:val="DefaultParagraphFont"/>
    <w:qFormat/>
    <w:rsid w:val="004C1F83"/>
  </w:style>
  <w:style w:type="character" w:customStyle="1" w:styleId="y0nh2b">
    <w:name w:val="y0nh2b"/>
    <w:basedOn w:val="DefaultParagraphFont"/>
    <w:qFormat/>
    <w:rsid w:val="004C1F83"/>
  </w:style>
  <w:style w:type="character" w:customStyle="1" w:styleId="SubtleEmphasis1">
    <w:name w:val="Subtle Emphasis1"/>
    <w:uiPriority w:val="19"/>
    <w:qFormat/>
    <w:rsid w:val="004C1F83"/>
    <w:rPr>
      <w:i/>
      <w:iCs/>
      <w:color w:val="7F7F7F"/>
    </w:rPr>
  </w:style>
  <w:style w:type="paragraph" w:customStyle="1" w:styleId="yiv5755112676ydpccd43b80mz12ndqf">
    <w:name w:val="yiv5755112676ydpccd43b80m_z12ndqf"/>
    <w:basedOn w:val="Normal"/>
    <w:qFormat/>
    <w:rsid w:val="004C1F83"/>
    <w:pPr>
      <w:spacing w:before="100" w:beforeAutospacing="1" w:after="100" w:afterAutospacing="1" w:line="240" w:lineRule="auto"/>
    </w:pPr>
    <w:rPr>
      <w:rFonts w:ascii="Times New Roman" w:eastAsia="Times New Roman" w:hAnsi="Times New Roman"/>
      <w:sz w:val="24"/>
      <w:szCs w:val="24"/>
    </w:rPr>
  </w:style>
  <w:style w:type="character" w:customStyle="1" w:styleId="ilfuvd">
    <w:name w:val="ilfuvd"/>
    <w:basedOn w:val="DefaultParagraphFont"/>
    <w:qFormat/>
    <w:rsid w:val="004C1F83"/>
  </w:style>
  <w:style w:type="character" w:customStyle="1" w:styleId="a">
    <w:name w:val="a"/>
    <w:basedOn w:val="DefaultParagraphFont"/>
    <w:qFormat/>
    <w:rsid w:val="004C1F83"/>
  </w:style>
  <w:style w:type="character" w:customStyle="1" w:styleId="l7">
    <w:name w:val="l7"/>
    <w:basedOn w:val="DefaultParagraphFont"/>
    <w:qFormat/>
    <w:rsid w:val="004C1F83"/>
  </w:style>
  <w:style w:type="character" w:customStyle="1" w:styleId="l6">
    <w:name w:val="l6"/>
    <w:basedOn w:val="DefaultParagraphFont"/>
    <w:qFormat/>
    <w:rsid w:val="004C1F83"/>
  </w:style>
  <w:style w:type="character" w:customStyle="1" w:styleId="fontstyle01">
    <w:name w:val="fontstyle01"/>
    <w:qFormat/>
    <w:rsid w:val="004C1F83"/>
    <w:rPr>
      <w:rFonts w:ascii="Times New Roman" w:hAnsi="Times New Roman" w:cs="Times New Roman" w:hint="default"/>
      <w:color w:val="000000"/>
      <w:sz w:val="20"/>
      <w:szCs w:val="20"/>
    </w:rPr>
  </w:style>
  <w:style w:type="character" w:customStyle="1" w:styleId="st">
    <w:name w:val="st"/>
    <w:basedOn w:val="DefaultParagraphFont"/>
    <w:rsid w:val="004C1F83"/>
  </w:style>
  <w:style w:type="character" w:customStyle="1" w:styleId="e24kjd">
    <w:name w:val="e24kjd"/>
    <w:basedOn w:val="DefaultParagraphFont"/>
    <w:rsid w:val="004C1F83"/>
  </w:style>
  <w:style w:type="character" w:customStyle="1" w:styleId="topic-highlight">
    <w:name w:val="topic-highlight"/>
    <w:basedOn w:val="DefaultParagraphFont"/>
    <w:rsid w:val="004C1F83"/>
  </w:style>
  <w:style w:type="paragraph" w:customStyle="1" w:styleId="Standard">
    <w:name w:val="Standard"/>
    <w:rsid w:val="004C1F83"/>
    <w:pPr>
      <w:widowControl w:val="0"/>
      <w:suppressAutoHyphens/>
      <w:autoSpaceDN w:val="0"/>
      <w:spacing w:after="0" w:line="240" w:lineRule="auto"/>
      <w:textAlignment w:val="baseline"/>
    </w:pPr>
    <w:rPr>
      <w:rFonts w:ascii="Liberation Serif" w:eastAsia="Droid Sans" w:hAnsi="Liberation Serif" w:cs="FreeSans"/>
      <w:kern w:val="3"/>
      <w:sz w:val="24"/>
      <w:szCs w:val="24"/>
    </w:rPr>
  </w:style>
  <w:style w:type="character" w:customStyle="1" w:styleId="citation">
    <w:name w:val="citation"/>
    <w:basedOn w:val="DefaultParagraphFont"/>
    <w:rsid w:val="004C1F83"/>
  </w:style>
  <w:style w:type="character" w:customStyle="1" w:styleId="ref-journal">
    <w:name w:val="ref-journal"/>
    <w:basedOn w:val="DefaultParagraphFont"/>
    <w:rsid w:val="004C1F83"/>
  </w:style>
  <w:style w:type="table" w:customStyle="1" w:styleId="TableGrid4">
    <w:name w:val="Table Grid4"/>
    <w:basedOn w:val="TableNormal"/>
    <w:next w:val="TableGrid"/>
    <w:uiPriority w:val="39"/>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uiPriority w:val="59"/>
    <w:qFormat/>
    <w:rsid w:val="004C1F83"/>
    <w:pPr>
      <w:spacing w:after="0" w:line="240" w:lineRule="auto"/>
    </w:pPr>
    <w:rPr>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4C1F83"/>
    <w:pPr>
      <w:spacing w:after="0" w:line="240" w:lineRule="auto"/>
    </w:pPr>
    <w:rPr>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4C1F83"/>
    <w:pPr>
      <w:spacing w:after="0" w:line="240" w:lineRule="auto"/>
    </w:pPr>
    <w:rPr>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4C1F83"/>
    <w:pPr>
      <w:spacing w:after="0" w:line="240" w:lineRule="auto"/>
    </w:pPr>
    <w:rPr>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4C1F83"/>
  </w:style>
  <w:style w:type="numbering" w:customStyle="1" w:styleId="NoList12">
    <w:name w:val="No List12"/>
    <w:next w:val="NoList"/>
    <w:uiPriority w:val="99"/>
    <w:semiHidden/>
    <w:unhideWhenUsed/>
    <w:rsid w:val="004C1F83"/>
  </w:style>
  <w:style w:type="table" w:customStyle="1" w:styleId="TableGrid10">
    <w:name w:val="Table Grid10"/>
    <w:basedOn w:val="TableNormal"/>
    <w:next w:val="TableGrid"/>
    <w:uiPriority w:val="59"/>
    <w:rsid w:val="004C1F83"/>
    <w:pPr>
      <w:spacing w:after="0" w:line="240" w:lineRule="auto"/>
    </w:pPr>
    <w:rPr>
      <w:rFonts w:ascii="Calibri" w:eastAsia="Calibri" w:hAnsi="Calibri" w:cs="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4C1F83"/>
    <w:pPr>
      <w:spacing w:after="0" w:line="240" w:lineRule="auto"/>
    </w:pPr>
    <w:rPr>
      <w:rFonts w:ascii="Calibri" w:eastAsia="Calibri" w:hAnsi="Calibri" w:cs="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4C1F83"/>
  </w:style>
  <w:style w:type="table" w:customStyle="1" w:styleId="TableGrid41">
    <w:name w:val="Table Grid41"/>
    <w:basedOn w:val="TableNormal"/>
    <w:next w:val="TableGrid"/>
    <w:uiPriority w:val="39"/>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qFormat/>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59"/>
    <w:qFormat/>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4C1F83"/>
  </w:style>
  <w:style w:type="character" w:styleId="CommentReference">
    <w:name w:val="annotation reference"/>
    <w:uiPriority w:val="99"/>
    <w:rsid w:val="004C1F83"/>
    <w:rPr>
      <w:rFonts w:ascii="Calibri" w:eastAsia="Calibri" w:hAnsi="Calibri" w:cs="Times New Roman"/>
      <w:sz w:val="16"/>
      <w:szCs w:val="16"/>
    </w:rPr>
  </w:style>
  <w:style w:type="paragraph" w:styleId="CommentText">
    <w:name w:val="annotation text"/>
    <w:basedOn w:val="Normal"/>
    <w:link w:val="CommentTextChar"/>
    <w:uiPriority w:val="99"/>
    <w:rsid w:val="004C1F83"/>
    <w:pPr>
      <w:spacing w:after="200" w:line="276" w:lineRule="auto"/>
    </w:pPr>
    <w:rPr>
      <w:rFonts w:ascii="Arial" w:hAnsi="Arial"/>
      <w:sz w:val="20"/>
      <w:szCs w:val="20"/>
    </w:rPr>
  </w:style>
  <w:style w:type="character" w:customStyle="1" w:styleId="CommentTextChar">
    <w:name w:val="Comment Text Char"/>
    <w:basedOn w:val="DefaultParagraphFont"/>
    <w:link w:val="CommentText"/>
    <w:uiPriority w:val="99"/>
    <w:rsid w:val="004C1F83"/>
    <w:rPr>
      <w:rFonts w:ascii="Arial" w:eastAsia="Calibri" w:hAnsi="Arial" w:cs="Times New Roman"/>
      <w:kern w:val="0"/>
      <w:sz w:val="20"/>
      <w:szCs w:val="20"/>
    </w:rPr>
  </w:style>
  <w:style w:type="paragraph" w:styleId="CommentSubject">
    <w:name w:val="annotation subject"/>
    <w:basedOn w:val="CommentText"/>
    <w:next w:val="CommentText"/>
    <w:link w:val="CommentSubjectChar"/>
    <w:rsid w:val="004C1F83"/>
    <w:rPr>
      <w:b/>
      <w:bCs/>
    </w:rPr>
  </w:style>
  <w:style w:type="character" w:customStyle="1" w:styleId="CommentSubjectChar">
    <w:name w:val="Comment Subject Char"/>
    <w:basedOn w:val="CommentTextChar"/>
    <w:link w:val="CommentSubject"/>
    <w:rsid w:val="004C1F83"/>
    <w:rPr>
      <w:b/>
      <w:bCs/>
    </w:rPr>
  </w:style>
  <w:style w:type="table" w:customStyle="1" w:styleId="TableGrid71">
    <w:name w:val="Table Grid71"/>
    <w:basedOn w:val="TableNormal"/>
    <w:next w:val="TableGrid"/>
    <w:uiPriority w:val="59"/>
    <w:qFormat/>
    <w:rsid w:val="004C1F83"/>
    <w:pPr>
      <w:spacing w:after="0" w:line="240" w:lineRule="auto"/>
    </w:pPr>
    <w:rPr>
      <w:rFonts w:ascii="Calibri" w:eastAsia="Calibri"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31">
    <w:name w:val="Light Grid - Accent 31"/>
    <w:basedOn w:val="TableNormal"/>
    <w:next w:val="LightGrid-Accent3"/>
    <w:uiPriority w:val="67"/>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pPr>
        <w:spacing w:before="0" w:after="0" w:line="240" w:lineRule="auto"/>
      </w:pPr>
      <w:rPr>
        <w:rFonts w:cs="Arial"/>
        <w:b/>
        <w:bCs/>
      </w:rPr>
      <w:tblPr/>
      <w:tcPr>
        <w:tcBorders>
          <w:top w:val="single" w:sz="8" w:space="0" w:color="9BBB59"/>
          <w:left w:val="single" w:sz="8" w:space="0" w:color="9BBB59"/>
          <w:bottom w:val="single" w:sz="18" w:space="0" w:color="9BBB59"/>
          <w:right w:val="single" w:sz="8" w:space="0" w:color="9BBB59"/>
          <w:insideH w:val="nil"/>
          <w:insideV w:val="single" w:sz="8" w:space="0" w:color="9BBB59"/>
          <w:tl2br w:val="nil"/>
          <w:tr2bl w:val="nil"/>
        </w:tcBorders>
      </w:tcPr>
    </w:tblStylePr>
    <w:tblStylePr w:type="lastRow">
      <w:pPr>
        <w:spacing w:before="0" w:after="0" w:line="240" w:lineRule="auto"/>
      </w:pPr>
      <w:rPr>
        <w:rFonts w:cs="Arial"/>
        <w:b/>
        <w:bCs/>
      </w:rPr>
      <w:tblPr/>
      <w:tcPr>
        <w:tcBorders>
          <w:top w:val="single" w:sz="18" w:space="0" w:color="CF7B79"/>
          <w:left w:val="nil"/>
          <w:bottom w:val="nil"/>
          <w:right w:val="nil"/>
          <w:insideH w:val="nil"/>
          <w:insideV w:val="nil"/>
          <w:tl2br w:val="nil"/>
          <w:tr2bl w:val="nil"/>
        </w:tcBorders>
      </w:tcPr>
    </w:tblStylePr>
    <w:tblStylePr w:type="firstCol">
      <w:rPr>
        <w:rFonts w:cs="Arial"/>
        <w:b/>
        <w:bCs/>
      </w:rPr>
    </w:tblStylePr>
    <w:tblStylePr w:type="lastCol">
      <w:rPr>
        <w:rFonts w:cs="Arial"/>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shd w:val="clear" w:color="auto" w:fill="DFA7A6"/>
      </w:tcPr>
    </w:tblStylePr>
    <w:tblStylePr w:type="band1Horz">
      <w:tblPr/>
      <w:tcPr>
        <w:shd w:val="clear" w:color="auto" w:fill="DFA7A6"/>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tcPr>
    </w:tblStylePr>
  </w:style>
  <w:style w:type="table" w:customStyle="1" w:styleId="LightGrid-Accent51">
    <w:name w:val="Light Grid - Accent 51"/>
    <w:basedOn w:val="TableNormal"/>
    <w:next w:val="LightGrid-Accent5"/>
    <w:uiPriority w:val="67"/>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pPr>
        <w:spacing w:before="0" w:after="0" w:line="240" w:lineRule="auto"/>
      </w:pPr>
      <w:rPr>
        <w:rFonts w:cs="Arial"/>
        <w:b/>
        <w:bCs/>
      </w:rPr>
      <w:tblPr/>
      <w:tcPr>
        <w:tcBorders>
          <w:top w:val="single" w:sz="8" w:space="0" w:color="4BACC6"/>
          <w:left w:val="single" w:sz="8" w:space="0" w:color="4BACC6"/>
          <w:bottom w:val="single" w:sz="18" w:space="0" w:color="4BACC6"/>
          <w:right w:val="single" w:sz="8" w:space="0" w:color="4BACC6"/>
          <w:insideH w:val="nil"/>
          <w:insideV w:val="single" w:sz="8" w:space="0" w:color="4BACC6"/>
          <w:tl2br w:val="nil"/>
          <w:tr2bl w:val="nil"/>
        </w:tcBorders>
      </w:tcPr>
    </w:tblStylePr>
    <w:tblStylePr w:type="lastRow">
      <w:pPr>
        <w:spacing w:before="0" w:after="0" w:line="240" w:lineRule="auto"/>
      </w:pPr>
      <w:rPr>
        <w:rFonts w:cs="Arial"/>
        <w:b/>
        <w:bCs/>
      </w:rPr>
      <w:tblPr/>
      <w:tcPr>
        <w:tcBorders>
          <w:top w:val="single" w:sz="18" w:space="0" w:color="9F8AB9"/>
          <w:left w:val="nil"/>
          <w:bottom w:val="nil"/>
          <w:right w:val="nil"/>
          <w:insideH w:val="nil"/>
          <w:insideV w:val="nil"/>
          <w:tl2br w:val="nil"/>
          <w:tr2bl w:val="nil"/>
        </w:tcBorders>
      </w:tcPr>
    </w:tblStylePr>
    <w:tblStylePr w:type="firstCol">
      <w:rPr>
        <w:rFonts w:cs="Arial"/>
        <w:b/>
        <w:bCs/>
      </w:rPr>
    </w:tblStylePr>
    <w:tblStylePr w:type="lastCol">
      <w:rPr>
        <w:rFonts w:cs="Arial"/>
        <w:b/>
        <w:bCs/>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shd w:val="clear" w:color="auto" w:fill="BFB1D0"/>
      </w:tcPr>
    </w:tblStylePr>
    <w:tblStylePr w:type="band1Horz">
      <w:tblPr/>
      <w:tcPr>
        <w:shd w:val="clear" w:color="auto" w:fill="BFB1D0"/>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4BACC6"/>
          <w:tl2br w:val="nil"/>
          <w:tr2bl w:val="nil"/>
        </w:tcBorders>
      </w:tcPr>
    </w:tblStylePr>
  </w:style>
  <w:style w:type="table" w:customStyle="1" w:styleId="MediumShading1-Accent51">
    <w:name w:val="Medium Shading 1 - Accent 51"/>
    <w:basedOn w:val="TableNormal"/>
    <w:next w:val="MediumShading1-Accent5"/>
    <w:uiPriority w:val="68"/>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pPr>
        <w:spacing w:before="0" w:after="0" w:line="240" w:lineRule="auto"/>
      </w:pPr>
      <w:rPr>
        <w:b/>
        <w:bCs/>
        <w:color w:val="FFFFFF"/>
      </w:rPr>
      <w:tblPr/>
      <w:tcPr>
        <w:shd w:val="clear" w:color="auto" w:fill="F2EFF6"/>
      </w:tcPr>
    </w:tblStylePr>
    <w:tblStylePr w:type="lastRow">
      <w:pPr>
        <w:spacing w:before="0" w:after="0" w:line="240" w:lineRule="auto"/>
      </w:pPr>
      <w:rPr>
        <w:b/>
        <w:bCs/>
      </w:rPr>
      <w:tblPr/>
      <w:tcPr>
        <w:tcBorders>
          <w:top w:val="single" w:sz="12" w:space="0" w:color="auto"/>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shd w:val="clear" w:color="auto" w:fill="BFB1D0"/>
      </w:tcPr>
    </w:tblStylePr>
    <w:tblStylePr w:type="band2Horz">
      <w:tblPr/>
      <w:tcPr>
        <w:tcBorders>
          <w:top w:val="nil"/>
          <w:left w:val="nil"/>
          <w:bottom w:val="nil"/>
          <w:right w:val="nil"/>
          <w:insideH w:val="nil"/>
          <w:insideV w:val="nil"/>
          <w:tl2br w:val="nil"/>
          <w:tr2bl w:val="nil"/>
        </w:tcBorders>
      </w:tcPr>
    </w:tblStylePr>
    <w:tblStylePr w:type="nwCell">
      <w:tblPr/>
      <w:tcPr>
        <w:shd w:val="clear" w:color="auto" w:fill="FFFFFF"/>
      </w:tcPr>
    </w:tblStylePr>
  </w:style>
  <w:style w:type="table" w:customStyle="1" w:styleId="MediumShading2-Accent51">
    <w:name w:val="Medium Shading 2 - Accent 51"/>
    <w:basedOn w:val="TableNormal"/>
    <w:next w:val="MediumShading2-Accent5"/>
    <w:uiPriority w:val="69"/>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pPr>
        <w:spacing w:before="0" w:after="0" w:line="240" w:lineRule="auto"/>
      </w:pPr>
      <w:rPr>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l2br w:val="nil"/>
          <w:tr2bl w:val="nil"/>
        </w:tcBorders>
        <w:shd w:val="clear" w:color="auto" w:fill="8064A2"/>
      </w:tcPr>
    </w:tblStylePr>
    <w:tblStylePr w:type="lastRow">
      <w:pPr>
        <w:spacing w:before="0" w:after="0" w:line="240" w:lineRule="auto"/>
      </w:pPr>
      <w:rPr>
        <w:color w:val="auto"/>
      </w:rPr>
      <w:tblPr/>
      <w:tcPr>
        <w:tcBorders>
          <w:top w:val="single" w:sz="24" w:space="0" w:color="FFFFFF"/>
          <w:left w:val="single" w:sz="8" w:space="0" w:color="FFFFFF"/>
          <w:bottom w:val="single" w:sz="8" w:space="0" w:color="FFFFFF"/>
          <w:right w:val="single" w:sz="8" w:space="0" w:color="FFFFFF"/>
          <w:insideH w:val="nil"/>
          <w:insideV w:val="single" w:sz="8" w:space="0" w:color="FFFFFF"/>
          <w:tl2br w:val="nil"/>
          <w:tr2bl w:val="nil"/>
        </w:tcBorders>
        <w:shd w:val="clear" w:color="auto" w:fill="8064A2"/>
      </w:tcPr>
    </w:tblStylePr>
    <w:tblStylePr w:type="firstCol">
      <w:rPr>
        <w:b/>
        <w:bCs/>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BFB1D0"/>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MediumList1-Accent51">
    <w:name w:val="Medium List 1 - Accent 51"/>
    <w:basedOn w:val="TableNormal"/>
    <w:next w:val="MediumList1-Accent5"/>
    <w:uiPriority w:val="70"/>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b/>
        <w:bCs/>
        <w:color w:val="1F497D"/>
      </w:rPr>
      <w:tblPr/>
      <w:tcPr>
        <w:tcBorders>
          <w:top w:val="single" w:sz="18" w:space="0" w:color="FFFFFF"/>
          <w:left w:val="nil"/>
          <w:bottom w:val="nil"/>
          <w:right w:val="nil"/>
          <w:insideH w:val="nil"/>
          <w:insideV w:val="nil"/>
          <w:tl2br w:val="nil"/>
          <w:tr2bl w:val="nil"/>
        </w:tcBorders>
        <w:shd w:val="clear" w:color="auto" w:fill="3F3151"/>
      </w:tcPr>
    </w:tblStylePr>
    <w:tblStylePr w:type="firstCol">
      <w:rPr>
        <w:b/>
        <w:bCs/>
      </w:rPr>
      <w:tblPr/>
      <w:tcPr>
        <w:tcBorders>
          <w:top w:val="nil"/>
          <w:left w:val="nil"/>
          <w:bottom w:val="nil"/>
          <w:right w:val="single" w:sz="18" w:space="0" w:color="FFFFFF"/>
          <w:insideH w:val="nil"/>
          <w:insideV w:val="nil"/>
          <w:tl2br w:val="nil"/>
          <w:tr2bl w:val="nil"/>
        </w:tcBorders>
        <w:shd w:val="clear" w:color="auto" w:fill="5F497A"/>
      </w:tcPr>
    </w:tblStylePr>
    <w:tblStylePr w:type="lastCol">
      <w:rPr>
        <w:b/>
        <w:bCs/>
      </w:rPr>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customStyle="1" w:styleId="MediumList2-Accent31">
    <w:name w:val="Medium List 2 - Accent 31"/>
    <w:basedOn w:val="TableNormal"/>
    <w:next w:val="MediumList2-Accent3"/>
    <w:uiPriority w:val="71"/>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6" w:space="0" w:color="FFFFFF"/>
          <w:left w:val="nil"/>
          <w:bottom w:val="nil"/>
          <w:right w:val="nil"/>
          <w:insideH w:val="nil"/>
          <w:insideV w:val="nil"/>
          <w:tl2br w:val="nil"/>
          <w:tr2bl w:val="nil"/>
        </w:tcBorders>
        <w:shd w:val="clear" w:color="auto" w:fill="772C2A"/>
      </w:tcPr>
    </w:tblStylePr>
    <w:tblStylePr w:type="firstCol">
      <w:tblPr/>
      <w:tcPr>
        <w:tcBorders>
          <w:top w:val="nil"/>
          <w:left w:val="nil"/>
          <w:bottom w:val="nil"/>
          <w:right w:val="nil"/>
          <w:insideH w:val="single" w:sz="4" w:space="0" w:color="772C2A"/>
          <w:insideV w:val="nil"/>
          <w:tl2br w:val="nil"/>
          <w:tr2bl w:val="nil"/>
        </w:tcBorders>
        <w:shd w:val="clear" w:color="auto" w:fill="772C2A"/>
      </w:tcPr>
    </w:tblStylePr>
    <w:tblStylePr w:type="lastCol">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MediumGrid3-Accent21">
    <w:name w:val="Medium Grid 3 - Accent 21"/>
    <w:basedOn w:val="TableNormal"/>
    <w:next w:val="MediumGrid3-Accent2"/>
    <w:uiPriority w:val="60"/>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la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customStyle="1" w:styleId="DarkList-Accent21">
    <w:name w:val="Dark List - Accent 21"/>
    <w:basedOn w:val="TableNormal"/>
    <w:next w:val="DarkList-Accent2"/>
    <w:uiPriority w:val="61"/>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b/>
        <w:bCs/>
      </w:rPr>
      <w:tblPr/>
      <w:tcPr>
        <w:shd w:val="clear" w:color="auto" w:fill="C0504D"/>
      </w:tcPr>
    </w:tblStylePr>
    <w:tblStylePr w:type="lastRow">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tblPr/>
      <w:tcPr>
        <w:tcBorders>
          <w:top w:val="nil"/>
          <w:left w:val="nil"/>
          <w:bottom w:val="nil"/>
          <w:right w:val="single" w:sz="18" w:space="0" w:color="FFFFFF"/>
          <w:insideH w:val="nil"/>
          <w:insideV w:val="nil"/>
          <w:tl2br w:val="nil"/>
          <w:tr2bl w:val="nil"/>
        </w:tcBorders>
        <w:shd w:val="clear" w:color="auto" w:fill="943634"/>
      </w:tcPr>
    </w:tblStylePr>
    <w:tblStylePr w:type="lastCol">
      <w:tblPr/>
      <w:tcPr>
        <w:tcBorders>
          <w:top w:val="nil"/>
          <w:left w:val="single" w:sz="18" w:space="0" w:color="FFFFFF"/>
          <w:bottom w:val="nil"/>
          <w:right w:val="nil"/>
          <w:insideH w:val="nil"/>
          <w:insideV w:val="nil"/>
          <w:tl2br w:val="nil"/>
          <w:tr2bl w:val="nil"/>
        </w:tcBorders>
        <w:shd w:val="clear" w:color="auto" w:fill="943634"/>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customStyle="1" w:styleId="ColorfulShading-Accent21">
    <w:name w:val="Colorful Shading - Accent 21"/>
    <w:basedOn w:val="TableNormal"/>
    <w:next w:val="ColorfulShading-Accent2"/>
    <w:uiPriority w:val="62"/>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rPr>
        <w:b/>
        <w:bCs/>
      </w:rPr>
      <w:tblPr/>
      <w:tcPr>
        <w:tcBorders>
          <w:top w:val="single" w:sz="8" w:space="0" w:color="C0504D"/>
          <w:left w:val="single" w:sz="8" w:space="0" w:color="C0504D"/>
          <w:bottom w:val="single" w:sz="18" w:space="0" w:color="C0504D"/>
          <w:right w:val="single" w:sz="8" w:space="0" w:color="C0504D"/>
          <w:insideH w:val="nil"/>
          <w:insideV w:val="single" w:sz="8" w:space="0" w:color="C0504D"/>
          <w:tl2br w:val="nil"/>
          <w:tr2bl w:val="nil"/>
        </w:tcBorders>
      </w:tcPr>
    </w:tblStylePr>
    <w:tblStylePr w:type="lastRow">
      <w:rPr>
        <w:b/>
        <w:bCs/>
        <w:color w:val="FFFFFF"/>
      </w:rPr>
      <w:tblPr/>
      <w:tcPr>
        <w:tcBorders>
          <w:top w:val="double" w:sz="6" w:space="0" w:color="C0504D"/>
          <w:left w:val="single" w:sz="8" w:space="0" w:color="C0504D"/>
          <w:bottom w:val="single" w:sz="8" w:space="0" w:color="C0504D"/>
          <w:right w:val="single" w:sz="8" w:space="0" w:color="C0504D"/>
          <w:insideH w:val="nil"/>
          <w:insideV w:val="single" w:sz="8" w:space="0" w:color="C0504D"/>
          <w:tl2br w:val="nil"/>
          <w:tr2bl w:val="nil"/>
        </w:tcBorders>
      </w:tcPr>
    </w:tblStylePr>
    <w:tblStylePr w:type="firstCol">
      <w:rPr>
        <w:color w:val="FFFFFF"/>
      </w:rPr>
      <w:tblPr/>
      <w:tcPr>
        <w:tcBorders>
          <w:top w:val="nil"/>
          <w:left w:val="nil"/>
          <w:bottom w:val="nil"/>
          <w:right w:val="nil"/>
          <w:insideH w:val="single" w:sz="4" w:space="0" w:color="772C2A"/>
          <w:insideV w:val="nil"/>
          <w:tl2br w:val="nil"/>
          <w:tr2bl w:val="nil"/>
        </w:tcBorders>
        <w:shd w:val="clear" w:color="auto" w:fill="772C2A"/>
      </w:tcPr>
    </w:tblStylePr>
    <w:tblStylePr w:type="lastCol">
      <w:rPr>
        <w:color w:val="FFFFFF"/>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C0504D"/>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C0504D"/>
          <w:tl2br w:val="nil"/>
          <w:tr2bl w:val="nil"/>
        </w:tcBorders>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62"/>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rPr>
        <w:b/>
        <w:bCs/>
      </w:rPr>
      <w:tblPr/>
      <w:tcPr>
        <w:tcBorders>
          <w:top w:val="single" w:sz="8" w:space="0" w:color="9BBB59"/>
          <w:left w:val="single" w:sz="8" w:space="0" w:color="9BBB59"/>
          <w:bottom w:val="single" w:sz="18" w:space="0" w:color="9BBB59"/>
          <w:right w:val="single" w:sz="8" w:space="0" w:color="9BBB59"/>
          <w:insideH w:val="nil"/>
          <w:insideV w:val="single" w:sz="8" w:space="0" w:color="9BBB59"/>
          <w:tl2br w:val="nil"/>
          <w:tr2bl w:val="nil"/>
        </w:tcBorders>
      </w:tcPr>
    </w:tblStylePr>
    <w:tblStylePr w:type="lastRow">
      <w:rPr>
        <w:b/>
        <w:bCs/>
        <w:color w:val="FFFFFF"/>
      </w:rPr>
      <w:tblPr/>
      <w:tcPr>
        <w:tcBorders>
          <w:top w:val="double" w:sz="6" w:space="0" w:color="9BBB59"/>
          <w:left w:val="single" w:sz="8" w:space="0" w:color="9BBB59"/>
          <w:bottom w:val="single" w:sz="8" w:space="0" w:color="9BBB59"/>
          <w:right w:val="single" w:sz="8" w:space="0" w:color="9BBB59"/>
          <w:insideH w:val="nil"/>
          <w:insideV w:val="single" w:sz="8" w:space="0" w:color="9BBB59"/>
          <w:tl2br w:val="nil"/>
          <w:tr2bl w:val="nil"/>
        </w:tcBorders>
      </w:tcPr>
    </w:tblStylePr>
    <w:tblStylePr w:type="firstCol">
      <w:rPr>
        <w:color w:val="FFFFFF"/>
      </w:rPr>
      <w:tblPr/>
      <w:tcPr>
        <w:tcBorders>
          <w:top w:val="nil"/>
          <w:left w:val="nil"/>
          <w:bottom w:val="nil"/>
          <w:right w:val="nil"/>
          <w:insideH w:val="single" w:sz="4" w:space="0" w:color="5E7530"/>
          <w:insideV w:val="nil"/>
          <w:tl2br w:val="nil"/>
          <w:tr2bl w:val="nil"/>
        </w:tcBorders>
        <w:shd w:val="clear" w:color="auto" w:fill="5E7530"/>
      </w:tcPr>
    </w:tblStylePr>
    <w:tblStylePr w:type="lastCol">
      <w:rPr>
        <w:color w:val="FFFFFF"/>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tcPr>
    </w:tblStylePr>
  </w:style>
  <w:style w:type="table" w:customStyle="1" w:styleId="ColorfulShading-Accent51">
    <w:name w:val="Colorful Shading - Accent 51"/>
    <w:basedOn w:val="TableNormal"/>
    <w:next w:val="ColorfulShading-Accent5"/>
    <w:uiPriority w:val="62"/>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rPr>
        <w:b/>
        <w:bCs/>
      </w:rPr>
      <w:tblPr/>
      <w:tcPr>
        <w:tcBorders>
          <w:top w:val="single" w:sz="8" w:space="0" w:color="4BACC6"/>
          <w:left w:val="single" w:sz="8" w:space="0" w:color="4BACC6"/>
          <w:bottom w:val="single" w:sz="18" w:space="0" w:color="4BACC6"/>
          <w:right w:val="single" w:sz="8" w:space="0" w:color="4BACC6"/>
          <w:insideH w:val="nil"/>
          <w:insideV w:val="single" w:sz="8" w:space="0" w:color="4BACC6"/>
          <w:tl2br w:val="nil"/>
          <w:tr2bl w:val="nil"/>
        </w:tcBorders>
      </w:tcPr>
    </w:tblStylePr>
    <w:tblStylePr w:type="lastRow">
      <w:rPr>
        <w:b/>
        <w:bCs/>
        <w:color w:val="FFFFFF"/>
      </w:rPr>
      <w:tblPr/>
      <w:tcPr>
        <w:tcBorders>
          <w:top w:val="double" w:sz="6" w:space="0" w:color="4BACC6"/>
          <w:left w:val="single" w:sz="8" w:space="0" w:color="4BACC6"/>
          <w:bottom w:val="single" w:sz="8" w:space="0" w:color="4BACC6"/>
          <w:right w:val="single" w:sz="8" w:space="0" w:color="4BACC6"/>
          <w:insideH w:val="nil"/>
          <w:insideV w:val="single" w:sz="8" w:space="0" w:color="4BACC6"/>
          <w:tl2br w:val="nil"/>
          <w:tr2bl w:val="nil"/>
        </w:tcBorders>
      </w:tcPr>
    </w:tblStylePr>
    <w:tblStylePr w:type="firstCol">
      <w:rPr>
        <w:color w:val="FFFFFF"/>
      </w:rPr>
      <w:tblPr/>
      <w:tcPr>
        <w:tcBorders>
          <w:top w:val="nil"/>
          <w:left w:val="nil"/>
          <w:bottom w:val="nil"/>
          <w:right w:val="nil"/>
          <w:insideH w:val="single" w:sz="4" w:space="0" w:color="276A7C"/>
          <w:insideV w:val="nil"/>
          <w:tl2br w:val="nil"/>
          <w:tr2bl w:val="nil"/>
        </w:tcBorders>
        <w:shd w:val="clear" w:color="auto" w:fill="276A7C"/>
      </w:tcPr>
    </w:tblStylePr>
    <w:tblStylePr w:type="lastCol">
      <w:rPr>
        <w:color w:val="FFFFFF"/>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4BACC6"/>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4BACC6"/>
          <w:tl2br w:val="nil"/>
          <w:tr2bl w:val="nil"/>
        </w:tcBorders>
      </w:tcPr>
    </w:tblStylePr>
    <w:tblStylePr w:type="neCell">
      <w:rPr>
        <w:color w:val="000000"/>
      </w:rPr>
    </w:tblStylePr>
    <w:tblStylePr w:type="nwCell">
      <w:rPr>
        <w:color w:val="000000"/>
      </w:rPr>
    </w:tblStylePr>
  </w:style>
  <w:style w:type="table" w:customStyle="1" w:styleId="ColorfulList-Accent21">
    <w:name w:val="Colorful List - Accent 21"/>
    <w:basedOn w:val="TableNormal"/>
    <w:next w:val="ColorfulList-Accent2"/>
    <w:uiPriority w:val="63"/>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rPr>
        <w:b/>
        <w:bCs/>
        <w:color w:val="9E3A38"/>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shd w:val="clear" w:color="auto" w:fill="EFD3D2"/>
      </w:tcPr>
    </w:tblStylePr>
  </w:style>
  <w:style w:type="table" w:customStyle="1" w:styleId="LightList-Accent111">
    <w:name w:val="Light List - Accent 111"/>
    <w:basedOn w:val="TableNormal"/>
    <w:uiPriority w:val="61"/>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tblPr/>
      <w:tcPr>
        <w:shd w:val="clear" w:color="auto" w:fill="4F81BD"/>
      </w:tcPr>
    </w:tblStylePr>
    <w:tblStylePr w:type="lastRow">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DarlingsStyle1">
    <w:name w:val="Darling's Style1"/>
    <w:basedOn w:val="TableNormal"/>
    <w:uiPriority w:val="99"/>
    <w:qFormat/>
    <w:rsid w:val="004C1F83"/>
    <w:pPr>
      <w:spacing w:after="0" w:line="240" w:lineRule="auto"/>
    </w:pPr>
    <w:rPr>
      <w:rFonts w:ascii="Calibri" w:eastAsia="Calibri" w:hAnsi="Calibri" w:cs="Times New Roman"/>
      <w:kern w:val="0"/>
      <w:sz w:val="20"/>
      <w:szCs w:val="20"/>
    </w:rPr>
    <w:tblPr>
      <w:tblInd w:w="0" w:type="dxa"/>
      <w:tblCellMar>
        <w:top w:w="0" w:type="dxa"/>
        <w:left w:w="108" w:type="dxa"/>
        <w:bottom w:w="0" w:type="dxa"/>
        <w:right w:w="108" w:type="dxa"/>
      </w:tblCellMar>
    </w:tblPr>
  </w:style>
  <w:style w:type="table" w:customStyle="1" w:styleId="LightShading-Accent111">
    <w:name w:val="Light Shading - Accent 111"/>
    <w:basedOn w:val="TableNormal"/>
    <w:uiPriority w:val="60"/>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tblPr/>
      <w:tcPr>
        <w:tcBorders>
          <w:top w:val="single" w:sz="8" w:space="0" w:color="4F81BD"/>
          <w:left w:val="nil"/>
          <w:bottom w:val="single" w:sz="8" w:space="0" w:color="4F81BD"/>
          <w:right w:val="nil"/>
          <w:insideH w:val="nil"/>
          <w:insideV w:val="nil"/>
          <w:tl2br w:val="nil"/>
          <w:tr2bl w:val="nil"/>
        </w:tcBorders>
      </w:tcPr>
    </w:tblStylePr>
    <w:tblStylePr w:type="lastRow">
      <w:tblPr/>
      <w:tcPr>
        <w:tcBorders>
          <w:top w:val="single" w:sz="8" w:space="0" w:color="4F81BD"/>
          <w:left w:val="nil"/>
          <w:bottom w:val="single" w:sz="8" w:space="0" w:color="4F81BD"/>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customStyle="1" w:styleId="TableGrid111">
    <w:name w:val="Table Grid111"/>
    <w:basedOn w:val="TableNormal"/>
    <w:uiPriority w:val="39"/>
    <w:qFormat/>
    <w:rsid w:val="004C1F83"/>
    <w:pPr>
      <w:spacing w:after="0" w:line="240" w:lineRule="auto"/>
    </w:pPr>
    <w:rPr>
      <w:rFonts w:ascii="Calibri" w:eastAsia="Calibri"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11">
    <w:name w:val="Light Grid - Accent 111"/>
    <w:basedOn w:val="TableNormal"/>
    <w:uiPriority w:val="62"/>
    <w:qFormat/>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tblPr/>
      <w:tcPr>
        <w:tcBorders>
          <w:top w:val="single" w:sz="8" w:space="0" w:color="4F81BD"/>
          <w:left w:val="single" w:sz="8" w:space="0" w:color="4F81BD"/>
          <w:bottom w:val="single" w:sz="18" w:space="0" w:color="4F81BD"/>
          <w:right w:val="single" w:sz="8" w:space="0" w:color="4F81BD"/>
          <w:insideH w:val="nil"/>
          <w:insideV w:val="single" w:sz="8" w:space="0" w:color="4F81BD"/>
          <w:tl2br w:val="nil"/>
          <w:tr2bl w:val="nil"/>
        </w:tcBorders>
      </w:tcPr>
    </w:tblStylePr>
    <w:tblStylePr w:type="lastRow">
      <w:tblPr/>
      <w:tcPr>
        <w:tcBorders>
          <w:top w:val="double" w:sz="6" w:space="0" w:color="4F81BD"/>
          <w:left w:val="single" w:sz="8" w:space="0" w:color="4F81BD"/>
          <w:bottom w:val="single" w:sz="8" w:space="0" w:color="4F81BD"/>
          <w:right w:val="single" w:sz="8" w:space="0" w:color="4F81BD"/>
          <w:insideH w:val="nil"/>
          <w:insideV w:val="single" w:sz="8" w:space="0" w:color="4F81BD"/>
          <w:tl2br w:val="nil"/>
          <w:tr2bl w:val="nil"/>
        </w:tcBorders>
      </w:tcPr>
    </w:tblStylePr>
    <w:tblStylePr w:type="lastCol">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4F81BD"/>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4F81BD"/>
          <w:tl2br w:val="nil"/>
          <w:tr2bl w:val="nil"/>
        </w:tcBorders>
      </w:tcPr>
    </w:tblStylePr>
  </w:style>
  <w:style w:type="table" w:customStyle="1" w:styleId="TableGrid211">
    <w:name w:val="Table Grid211"/>
    <w:basedOn w:val="TableNormal"/>
    <w:uiPriority w:val="59"/>
    <w:rsid w:val="004C1F83"/>
    <w:pPr>
      <w:spacing w:after="0" w:line="240" w:lineRule="auto"/>
    </w:pPr>
    <w:rPr>
      <w:rFonts w:ascii="Calibri" w:eastAsia="Calibri"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Accent3">
    <w:name w:val="Grid Table 2 Accent 3"/>
    <w:basedOn w:val="TableNormal"/>
    <w:uiPriority w:val="47"/>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left w:val="nil"/>
          <w:bottom w:val="single" w:sz="12" w:space="0" w:color="C9C9C9"/>
          <w:right w:val="nil"/>
          <w:insideH w:val="nil"/>
          <w:insideV w:val="nil"/>
          <w:tl2br w:val="nil"/>
          <w:tr2bl w:val="nil"/>
        </w:tcBorders>
        <w:shd w:val="clear" w:color="auto" w:fill="FFFFFF"/>
      </w:tcPr>
    </w:tblStylePr>
    <w:tblStylePr w:type="lastRow">
      <w:rPr>
        <w:b/>
        <w:bCs/>
      </w:rPr>
      <w:tblPr/>
      <w:tcPr>
        <w:tcBorders>
          <w:top w:val="double" w:sz="2" w:space="0" w:color="C9C9C9"/>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authorsname">
    <w:name w:val="authors__name"/>
    <w:rsid w:val="004C1F83"/>
  </w:style>
  <w:style w:type="character" w:customStyle="1" w:styleId="luna-pos">
    <w:name w:val="luna-pos"/>
    <w:rsid w:val="004C1F83"/>
  </w:style>
  <w:style w:type="character" w:customStyle="1" w:styleId="one-click-content">
    <w:name w:val="one-click-content"/>
    <w:rsid w:val="004C1F83"/>
  </w:style>
  <w:style w:type="table" w:customStyle="1" w:styleId="GridTable1Light-Accent21">
    <w:name w:val="Grid Table 1 Light - Accent 21"/>
    <w:basedOn w:val="TableNormal"/>
    <w:uiPriority w:val="46"/>
    <w:rsid w:val="004C1F83"/>
    <w:pPr>
      <w:spacing w:after="0" w:line="240" w:lineRule="auto"/>
    </w:pPr>
    <w:rPr>
      <w:rFonts w:ascii="Calibri" w:eastAsia="Calibri" w:hAnsi="Calibri" w:cs="Times New Roman"/>
      <w:kern w:val="0"/>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b/>
        <w:bCs/>
      </w:rPr>
      <w:tblPr/>
      <w:tcPr>
        <w:tcBorders>
          <w:top w:val="nil"/>
          <w:left w:val="nil"/>
          <w:bottom w:val="single" w:sz="12" w:space="0" w:color="D99594"/>
          <w:right w:val="nil"/>
          <w:insideH w:val="nil"/>
          <w:insideV w:val="nil"/>
          <w:tl2br w:val="nil"/>
          <w:tr2bl w:val="nil"/>
        </w:tcBorders>
      </w:tcPr>
    </w:tblStylePr>
    <w:tblStylePr w:type="lastRow">
      <w:rPr>
        <w:b/>
        <w:bCs/>
      </w:rPr>
      <w:tblPr/>
      <w:tcPr>
        <w:tcBorders>
          <w:top w:val="double" w:sz="2" w:space="0" w:color="D99594"/>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TableGrid2111">
    <w:name w:val="Table Grid2111"/>
    <w:basedOn w:val="TableNormal"/>
    <w:uiPriority w:val="39"/>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basedOn w:val="TableNormal"/>
    <w:uiPriority w:val="39"/>
    <w:qFormat/>
    <w:rsid w:val="004C1F83"/>
    <w:pPr>
      <w:spacing w:after="0" w:line="240" w:lineRule="auto"/>
    </w:pPr>
    <w:rPr>
      <w:rFonts w:ascii="Calibri" w:eastAsia="Calibri"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1">
    <w:name w:val="Table Grid711"/>
    <w:basedOn w:val="TableNormal"/>
    <w:uiPriority w:val="59"/>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4C1F83"/>
  </w:style>
  <w:style w:type="table" w:customStyle="1" w:styleId="TableGrid81">
    <w:name w:val="Table Grid81"/>
    <w:basedOn w:val="TableNormal"/>
    <w:next w:val="TableGrid"/>
    <w:uiPriority w:val="59"/>
    <w:qFormat/>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NoList"/>
    <w:uiPriority w:val="99"/>
    <w:semiHidden/>
    <w:unhideWhenUsed/>
    <w:rsid w:val="004C1F83"/>
  </w:style>
  <w:style w:type="table" w:customStyle="1" w:styleId="TableGrid91">
    <w:name w:val="Table Grid91"/>
    <w:basedOn w:val="TableNormal"/>
    <w:next w:val="TableGrid"/>
    <w:uiPriority w:val="39"/>
    <w:qFormat/>
    <w:rsid w:val="004C1F83"/>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4C1F83"/>
    <w:pPr>
      <w:pBdr>
        <w:top w:val="nil"/>
        <w:left w:val="nil"/>
        <w:bottom w:val="nil"/>
        <w:right w:val="nil"/>
        <w:between w:val="nil"/>
        <w:bar w:val="nil"/>
      </w:pBdr>
      <w:spacing w:after="153" w:line="486" w:lineRule="auto"/>
      <w:ind w:left="10" w:right="1" w:hanging="10"/>
      <w:jc w:val="both"/>
    </w:pPr>
    <w:rPr>
      <w:rFonts w:ascii="Arial" w:eastAsia="Arial Unicode MS" w:hAnsi="Arial" w:cs="Arial Unicode MS"/>
      <w:color w:val="000000"/>
      <w:kern w:val="0"/>
      <w:sz w:val="24"/>
      <w:szCs w:val="24"/>
      <w:u w:color="000000"/>
      <w:bdr w:val="nil"/>
    </w:rPr>
  </w:style>
  <w:style w:type="numbering" w:customStyle="1" w:styleId="NoList4">
    <w:name w:val="No List4"/>
    <w:next w:val="NoList"/>
    <w:uiPriority w:val="99"/>
    <w:semiHidden/>
    <w:unhideWhenUsed/>
    <w:rsid w:val="004C1F83"/>
  </w:style>
  <w:style w:type="table" w:customStyle="1" w:styleId="TableGrid12">
    <w:name w:val="Table Grid12"/>
    <w:basedOn w:val="TableNormal"/>
    <w:next w:val="TableGrid"/>
    <w:uiPriority w:val="59"/>
    <w:qFormat/>
    <w:rsid w:val="004C1F83"/>
    <w:pPr>
      <w:spacing w:after="0" w:line="240" w:lineRule="auto"/>
    </w:pPr>
    <w:rPr>
      <w:rFonts w:ascii="Calibri" w:eastAsia="Calibri" w:hAnsi="Calibri" w:cs="Times New Roman"/>
      <w:kern w:val="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
    <w:name w:val="Table Grid13"/>
    <w:basedOn w:val="TableNormal"/>
    <w:uiPriority w:val="39"/>
    <w:qFormat/>
    <w:rsid w:val="004C1F83"/>
    <w:pPr>
      <w:spacing w:after="0" w:line="240" w:lineRule="auto"/>
    </w:pPr>
    <w:rPr>
      <w:rFonts w:ascii="Calibri" w:eastAsia="Calibri" w:hAnsi="Calibri" w:cs="Times New Roman"/>
      <w:kern w:val="0"/>
      <w:lang w:val="en-PH" w:eastAsia="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uiPriority w:val="39"/>
    <w:rsid w:val="004C1F83"/>
    <w:pPr>
      <w:spacing w:after="0" w:line="240" w:lineRule="auto"/>
    </w:pPr>
    <w:rPr>
      <w:rFonts w:ascii="Calibri" w:eastAsia="Calibri" w:hAnsi="Calibri" w:cs="Times New Roman"/>
      <w:kern w:val="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4C1F83"/>
  </w:style>
  <w:style w:type="numbering" w:customStyle="1" w:styleId="NoList112">
    <w:name w:val="No List112"/>
    <w:next w:val="NoList"/>
    <w:uiPriority w:val="99"/>
    <w:semiHidden/>
    <w:unhideWhenUsed/>
    <w:rsid w:val="004C1F83"/>
  </w:style>
  <w:style w:type="table" w:customStyle="1" w:styleId="TableGrid212">
    <w:name w:val="Table Grid212"/>
    <w:basedOn w:val="TableNormal"/>
    <w:next w:val="TableGrid"/>
    <w:uiPriority w:val="59"/>
    <w:rsid w:val="004C1F83"/>
    <w:pPr>
      <w:spacing w:after="0" w:line="240" w:lineRule="auto"/>
    </w:pPr>
    <w:rPr>
      <w:rFonts w:ascii="Times New Roman" w:eastAsia="Times New Roman" w:hAnsi="Times New Roman" w:cs="Times New Roman"/>
      <w:kern w:val="0"/>
      <w:sz w:val="20"/>
      <w:szCs w:val="20"/>
      <w:lang w:val="en-PH" w:eastAsia="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2">
    <w:name w:val="No List22"/>
    <w:next w:val="NoList"/>
    <w:uiPriority w:val="99"/>
    <w:semiHidden/>
    <w:unhideWhenUsed/>
    <w:rsid w:val="004C1F83"/>
  </w:style>
  <w:style w:type="table" w:customStyle="1" w:styleId="TableGrid32">
    <w:name w:val="Table Grid32"/>
    <w:basedOn w:val="TableNormal"/>
    <w:next w:val="TableGrid"/>
    <w:uiPriority w:val="59"/>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Grid-Accent32">
    <w:name w:val="Light Grid - Accent 32"/>
    <w:basedOn w:val="TableNormal"/>
    <w:next w:val="LightGrid-Accent3"/>
    <w:uiPriority w:val="67"/>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rPr>
        <w:rFonts w:cs="Times New Roman"/>
        <w:b/>
        <w:bCs/>
      </w:rPr>
      <w:tblPr/>
      <w:tcPr>
        <w:tcBorders>
          <w:top w:val="single" w:sz="18" w:space="0" w:color="CF7B7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shd w:val="clear" w:color="auto" w:fill="DFA7A6"/>
      </w:tcPr>
    </w:tblStylePr>
    <w:tblStylePr w:type="band1Horz">
      <w:tblPr/>
      <w:tcPr>
        <w:shd w:val="clear" w:color="auto" w:fill="DFA7A6"/>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customStyle="1" w:styleId="LightGrid-Accent52">
    <w:name w:val="Light Grid - Accent 52"/>
    <w:basedOn w:val="TableNormal"/>
    <w:next w:val="LightGrid-Accent5"/>
    <w:uiPriority w:val="67"/>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rPr>
        <w:rFonts w:cs="Times New Roman"/>
        <w:b/>
        <w:bCs/>
      </w:rPr>
      <w:tblPr/>
      <w:tcPr>
        <w:tcBorders>
          <w:top w:val="single" w:sz="18" w:space="0" w:color="9F8AB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shd w:val="clear" w:color="auto" w:fill="BFB1D0"/>
      </w:tcPr>
    </w:tblStylePr>
    <w:tblStylePr w:type="band1Horz">
      <w:tblPr/>
      <w:tcPr>
        <w:shd w:val="clear" w:color="auto" w:fill="BFB1D0"/>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Shading1-Accent52">
    <w:name w:val="Medium Shading 1 - Accent 52"/>
    <w:basedOn w:val="TableNormal"/>
    <w:next w:val="MediumShading1-Accent5"/>
    <w:uiPriority w:val="68"/>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FFFFFF"/>
      </w:rPr>
      <w:tblPr/>
      <w:tcPr>
        <w:shd w:val="clear" w:color="auto" w:fill="F2EFF6"/>
      </w:tcPr>
    </w:tblStylePr>
    <w:tblStylePr w:type="lastRow">
      <w:rPr>
        <w:b/>
        <w:bCs/>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shd w:val="clear" w:color="auto" w:fill="BFB1D0"/>
      </w:tcPr>
    </w:tblStylePr>
    <w:tblStylePr w:type="band2Horz">
      <w:tblPr/>
      <w:tcPr>
        <w:tcBorders>
          <w:insideH w:val="nil"/>
          <w:insideV w:val="nil"/>
        </w:tcBorders>
      </w:tcPr>
    </w:tblStylePr>
    <w:tblStylePr w:type="nwCell">
      <w:tblPr/>
      <w:tcPr>
        <w:shd w:val="clear" w:color="auto" w:fill="FFFFFF"/>
      </w:tcPr>
    </w:tblStylePr>
  </w:style>
  <w:style w:type="table" w:customStyle="1" w:styleId="MediumShading2-Accent52">
    <w:name w:val="Medium Shading 2 - Accent 52"/>
    <w:basedOn w:val="TableNormal"/>
    <w:next w:val="MediumShading2-Accent5"/>
    <w:uiPriority w:val="69"/>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color w:val="auto"/>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customStyle="1" w:styleId="MediumList1-Accent52">
    <w:name w:val="Medium List 1 - Accent 52"/>
    <w:basedOn w:val="TableNormal"/>
    <w:next w:val="MediumList1-Accent5"/>
    <w:uiPriority w:val="70"/>
    <w:qFormat/>
    <w:rsid w:val="004C1F83"/>
    <w:pPr>
      <w:spacing w:after="0" w:line="240" w:lineRule="auto"/>
    </w:pPr>
    <w:rPr>
      <w:rFonts w:ascii="Calibri" w:eastAsia="Calibri" w:hAnsi="Calibri" w:cs="Times New Roman"/>
      <w:kern w:val="0"/>
      <w:sz w:val="20"/>
      <w:szCs w:val="20"/>
      <w:lang w:val="en-PH" w:eastAsia="en-PH"/>
    </w:rPr>
    <w:tblPr>
      <w:tblInd w:w="0" w:type="dxa"/>
      <w:tblCellMar>
        <w:top w:w="0" w:type="dxa"/>
        <w:left w:w="108" w:type="dxa"/>
        <w:bottom w:w="0" w:type="dxa"/>
        <w:right w:w="108" w:type="dxa"/>
      </w:tblCellMar>
    </w:tblPr>
    <w:tcPr>
      <w:shd w:val="clear" w:color="auto" w:fill="8064A2"/>
    </w:tcPr>
    <w:tblStylePr w:type="firstRow">
      <w:rPr>
        <w:rFonts w:cs="Times New Roman"/>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b/>
        <w:bCs/>
        <w:color w:val="1F497D"/>
      </w:rPr>
      <w:tblPr/>
      <w:tcPr>
        <w:tcBorders>
          <w:top w:val="single" w:sz="18" w:space="0" w:color="FFFFFF"/>
          <w:left w:val="nil"/>
          <w:bottom w:val="nil"/>
          <w:right w:val="nil"/>
          <w:insideH w:val="nil"/>
          <w:insideV w:val="nil"/>
          <w:tl2br w:val="nil"/>
          <w:tr2bl w:val="nil"/>
        </w:tcBorders>
        <w:shd w:val="clear" w:color="auto" w:fill="3F3151"/>
      </w:tcPr>
    </w:tblStylePr>
    <w:tblStylePr w:type="firstCol">
      <w:rPr>
        <w:b/>
        <w:bCs/>
      </w:rPr>
      <w:tblPr/>
      <w:tcPr>
        <w:tcBorders>
          <w:top w:val="nil"/>
          <w:left w:val="nil"/>
          <w:bottom w:val="nil"/>
          <w:right w:val="single" w:sz="18" w:space="0" w:color="FFFFFF"/>
          <w:insideH w:val="nil"/>
          <w:insideV w:val="nil"/>
          <w:tl2br w:val="nil"/>
          <w:tr2bl w:val="nil"/>
        </w:tcBorders>
        <w:shd w:val="clear" w:color="auto" w:fill="5F497A"/>
      </w:tcPr>
    </w:tblStylePr>
    <w:tblStylePr w:type="lastCol">
      <w:rPr>
        <w:b/>
        <w:bCs/>
      </w:rPr>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customStyle="1" w:styleId="MediumList2-Accent32">
    <w:name w:val="Medium List 2 - Accent 32"/>
    <w:basedOn w:val="TableNormal"/>
    <w:next w:val="MediumList2-Accent3"/>
    <w:uiPriority w:val="7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6" w:space="0" w:color="FFFFFF"/>
          <w:left w:val="nil"/>
          <w:bottom w:val="nil"/>
          <w:right w:val="nil"/>
          <w:insideH w:val="nil"/>
          <w:insideV w:val="nil"/>
          <w:tl2br w:val="nil"/>
          <w:tr2bl w:val="nil"/>
        </w:tcBorders>
        <w:shd w:val="clear" w:color="auto" w:fill="772C2A"/>
      </w:tcPr>
    </w:tblStylePr>
    <w:tblStylePr w:type="firstCol">
      <w:tblPr/>
      <w:tcPr>
        <w:tcBorders>
          <w:top w:val="nil"/>
          <w:left w:val="nil"/>
          <w:bottom w:val="nil"/>
          <w:right w:val="nil"/>
          <w:insideH w:val="single" w:sz="4" w:space="0" w:color="auto"/>
          <w:insideV w:val="nil"/>
          <w:tl2br w:val="nil"/>
          <w:tr2bl w:val="nil"/>
        </w:tcBorders>
        <w:shd w:val="clear" w:color="auto" w:fill="772C2A"/>
      </w:tcPr>
    </w:tblStylePr>
    <w:tblStylePr w:type="lastCol">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wCell">
      <w:tblPr/>
      <w:tcPr>
        <w:shd w:val="clear" w:color="auto" w:fill="FFFFFF"/>
      </w:tcPr>
    </w:tblStylePr>
    <w:tblStylePr w:type="swCell">
      <w:tblPr/>
      <w:tcPr>
        <w:tcBorders>
          <w:top w:val="nil"/>
        </w:tcBorders>
      </w:tcPr>
    </w:tblStylePr>
  </w:style>
  <w:style w:type="table" w:customStyle="1" w:styleId="MediumGrid3-Accent22">
    <w:name w:val="Medium Grid 3 - Accent 22"/>
    <w:basedOn w:val="TableNormal"/>
    <w:next w:val="MediumGrid3-Accent2"/>
    <w:uiPriority w:val="60"/>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la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customStyle="1" w:styleId="DarkList-Accent22">
    <w:name w:val="Dark List - Accent 22"/>
    <w:basedOn w:val="TableNormal"/>
    <w:next w:val="DarkList-Accent2"/>
    <w:uiPriority w:val="6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b/>
        <w:bCs/>
      </w:rPr>
      <w:tblPr/>
      <w:tcPr>
        <w:shd w:val="clear" w:color="auto" w:fill="C0504D"/>
      </w:tcPr>
    </w:tblStylePr>
    <w:tblStylePr w:type="lastRow">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customStyle="1" w:styleId="ColorfulShading-Accent22">
    <w:name w:val="Colorful Shading - Accent 22"/>
    <w:basedOn w:val="TableNormal"/>
    <w:next w:val="ColorfulShading-Accent2"/>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rPr>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rPr>
        <w:b/>
        <w:bCs/>
        <w:color w:val="FFFFFF"/>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rPr>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rPr>
        <w:b/>
        <w:bCs/>
        <w:color w:val="FFFFFF"/>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ColorfulShading-Accent52">
    <w:name w:val="Colorful Shading - Accent 52"/>
    <w:basedOn w:val="TableNormal"/>
    <w:next w:val="ColorfulShading-Accent5"/>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rPr>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rPr>
        <w:b/>
        <w:bCs/>
        <w:color w:val="FFFFFF"/>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neCell">
      <w:rPr>
        <w:color w:val="000000"/>
      </w:rPr>
    </w:tblStylePr>
    <w:tblStylePr w:type="nwCell">
      <w:rPr>
        <w:color w:val="000000"/>
      </w:rPr>
    </w:tblStylePr>
  </w:style>
  <w:style w:type="table" w:customStyle="1" w:styleId="ColorfulList-Accent22">
    <w:name w:val="Colorful List - Accent 22"/>
    <w:basedOn w:val="TableNormal"/>
    <w:next w:val="ColorfulList-Accent2"/>
    <w:uiPriority w:val="63"/>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rPr>
        <w:b/>
        <w:bCs/>
        <w:color w:val="9E3A38"/>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shd w:val="clear" w:color="auto" w:fill="EFD3D2"/>
      </w:tcPr>
    </w:tblStylePr>
  </w:style>
  <w:style w:type="table" w:customStyle="1" w:styleId="LightList-Accent112">
    <w:name w:val="Light List - Accent 112"/>
    <w:basedOn w:val="TableNormal"/>
    <w:uiPriority w:val="6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tblPr/>
      <w:tcPr>
        <w:shd w:val="clear" w:color="auto" w:fill="4F81BD"/>
      </w:tcPr>
    </w:tblStylePr>
    <w:tblStylePr w:type="lastRow">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DarlingsStyle2">
    <w:name w:val="Darling's Style2"/>
    <w:basedOn w:val="TableNormal"/>
    <w:uiPriority w:val="99"/>
    <w:qFormat/>
    <w:rsid w:val="004C1F83"/>
    <w:pPr>
      <w:spacing w:after="0" w:line="240" w:lineRule="auto"/>
    </w:pPr>
    <w:rPr>
      <w:rFonts w:ascii="Calibri" w:eastAsia="Calibri" w:hAnsi="Calibri" w:cs="Times New Roman"/>
      <w:kern w:val="0"/>
      <w:sz w:val="20"/>
      <w:szCs w:val="20"/>
      <w:lang w:val="en-PH" w:eastAsia="en-PH"/>
    </w:rPr>
    <w:tblPr>
      <w:tblInd w:w="0" w:type="dxa"/>
      <w:tblCellMar>
        <w:top w:w="0" w:type="dxa"/>
        <w:left w:w="108" w:type="dxa"/>
        <w:bottom w:w="0" w:type="dxa"/>
        <w:right w:w="108" w:type="dxa"/>
      </w:tblCellMar>
    </w:tblPr>
  </w:style>
  <w:style w:type="table" w:customStyle="1" w:styleId="LightShading-Accent112">
    <w:name w:val="Light Shading - Accent 112"/>
    <w:basedOn w:val="TableNormal"/>
    <w:uiPriority w:val="60"/>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tblPr/>
      <w:tcPr>
        <w:tcBorders>
          <w:top w:val="single" w:sz="8" w:space="0" w:color="4F81BD"/>
          <w:left w:val="nil"/>
          <w:bottom w:val="single" w:sz="8" w:space="0" w:color="4F81BD"/>
          <w:right w:val="nil"/>
          <w:insideH w:val="nil"/>
          <w:insideV w:val="nil"/>
          <w:tl2br w:val="nil"/>
          <w:tr2bl w:val="nil"/>
        </w:tcBorders>
      </w:tcPr>
    </w:tblStylePr>
    <w:tblStylePr w:type="lastRow">
      <w:tblPr/>
      <w:tcPr>
        <w:tcBorders>
          <w:top w:val="single" w:sz="8" w:space="0" w:color="4F81BD"/>
          <w:left w:val="nil"/>
          <w:bottom w:val="single" w:sz="8" w:space="0" w:color="4F81BD"/>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customStyle="1" w:styleId="LightGrid-Accent112">
    <w:name w:val="Light Grid - Accent 112"/>
    <w:basedOn w:val="TableNormal"/>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lastCol">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paragraph" w:customStyle="1" w:styleId="TableParagraph">
    <w:name w:val="Table Paragraph"/>
    <w:basedOn w:val="Normal"/>
    <w:uiPriority w:val="1"/>
    <w:qFormat/>
    <w:rsid w:val="004C1F83"/>
    <w:pPr>
      <w:widowControl w:val="0"/>
      <w:autoSpaceDE w:val="0"/>
      <w:autoSpaceDN w:val="0"/>
      <w:spacing w:before="108" w:after="0" w:line="240" w:lineRule="auto"/>
      <w:ind w:left="598"/>
    </w:pPr>
    <w:rPr>
      <w:rFonts w:ascii="Arial" w:eastAsia="Arial" w:hAnsi="Arial" w:cs="Arial"/>
    </w:rPr>
  </w:style>
  <w:style w:type="table" w:customStyle="1" w:styleId="TableGrid42">
    <w:name w:val="Table Grid4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C1F83"/>
  </w:style>
  <w:style w:type="table" w:customStyle="1" w:styleId="TableGrid18">
    <w:name w:val="Table Grid18"/>
    <w:basedOn w:val="TableNormal"/>
    <w:next w:val="TableGrid"/>
    <w:uiPriority w:val="59"/>
    <w:qFormat/>
    <w:rsid w:val="004C1F83"/>
    <w:pPr>
      <w:spacing w:after="0" w:line="240" w:lineRule="auto"/>
    </w:pPr>
    <w:rPr>
      <w:rFonts w:ascii="Calibri" w:eastAsia="Calibri" w:hAnsi="Calibri" w:cs="Times New Roman"/>
      <w:kern w:val="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uiPriority w:val="39"/>
    <w:qFormat/>
    <w:rsid w:val="004C1F83"/>
    <w:pPr>
      <w:spacing w:after="0" w:line="240" w:lineRule="auto"/>
    </w:pPr>
    <w:rPr>
      <w:rFonts w:ascii="Calibri" w:eastAsia="Calibri" w:hAnsi="Calibri" w:cs="Times New Roman"/>
      <w:kern w:val="0"/>
      <w:lang w:val="en-PH" w:eastAsia="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uiPriority w:val="39"/>
    <w:rsid w:val="004C1F83"/>
    <w:pPr>
      <w:spacing w:after="0" w:line="240" w:lineRule="auto"/>
    </w:pPr>
    <w:rPr>
      <w:rFonts w:ascii="Calibri" w:eastAsia="Calibri" w:hAnsi="Calibri" w:cs="Times New Roman"/>
      <w:kern w:val="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4C1F83"/>
  </w:style>
  <w:style w:type="numbering" w:customStyle="1" w:styleId="NoList113">
    <w:name w:val="No List113"/>
    <w:next w:val="NoList"/>
    <w:uiPriority w:val="99"/>
    <w:semiHidden/>
    <w:unhideWhenUsed/>
    <w:rsid w:val="004C1F83"/>
  </w:style>
  <w:style w:type="table" w:customStyle="1" w:styleId="TableGrid213">
    <w:name w:val="Table Grid213"/>
    <w:basedOn w:val="TableNormal"/>
    <w:next w:val="TableGrid"/>
    <w:uiPriority w:val="59"/>
    <w:rsid w:val="004C1F83"/>
    <w:pPr>
      <w:spacing w:after="0" w:line="240" w:lineRule="auto"/>
    </w:pPr>
    <w:rPr>
      <w:rFonts w:ascii="Times New Roman" w:eastAsia="Times New Roman" w:hAnsi="Times New Roman" w:cs="Times New Roman"/>
      <w:kern w:val="0"/>
      <w:sz w:val="20"/>
      <w:szCs w:val="20"/>
      <w:lang w:val="en-PH" w:eastAsia="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3">
    <w:name w:val="No List23"/>
    <w:next w:val="NoList"/>
    <w:uiPriority w:val="99"/>
    <w:semiHidden/>
    <w:unhideWhenUsed/>
    <w:rsid w:val="004C1F83"/>
  </w:style>
  <w:style w:type="table" w:customStyle="1" w:styleId="TableGrid33">
    <w:name w:val="Table Grid33"/>
    <w:basedOn w:val="TableNormal"/>
    <w:next w:val="TableGrid"/>
    <w:uiPriority w:val="59"/>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Grid-Accent33">
    <w:name w:val="Light Grid - Accent 33"/>
    <w:basedOn w:val="TableNormal"/>
    <w:next w:val="LightGrid-Accent3"/>
    <w:uiPriority w:val="67"/>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rPr>
        <w:rFonts w:cs="Times New Roman"/>
        <w:b/>
        <w:bCs/>
      </w:rPr>
      <w:tblPr/>
      <w:tcPr>
        <w:tcBorders>
          <w:top w:val="single" w:sz="18" w:space="0" w:color="CF7B7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shd w:val="clear" w:color="auto" w:fill="DFA7A6"/>
      </w:tcPr>
    </w:tblStylePr>
    <w:tblStylePr w:type="band1Horz">
      <w:tblPr/>
      <w:tcPr>
        <w:shd w:val="clear" w:color="auto" w:fill="DFA7A6"/>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customStyle="1" w:styleId="LightGrid-Accent53">
    <w:name w:val="Light Grid - Accent 53"/>
    <w:basedOn w:val="TableNormal"/>
    <w:next w:val="LightGrid-Accent5"/>
    <w:uiPriority w:val="67"/>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rPr>
        <w:rFonts w:cs="Times New Roman"/>
        <w:b/>
        <w:bCs/>
      </w:rPr>
      <w:tblPr/>
      <w:tcPr>
        <w:tcBorders>
          <w:top w:val="single" w:sz="18" w:space="0" w:color="9F8AB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shd w:val="clear" w:color="auto" w:fill="BFB1D0"/>
      </w:tcPr>
    </w:tblStylePr>
    <w:tblStylePr w:type="band1Horz">
      <w:tblPr/>
      <w:tcPr>
        <w:shd w:val="clear" w:color="auto" w:fill="BFB1D0"/>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Shading1-Accent53">
    <w:name w:val="Medium Shading 1 - Accent 53"/>
    <w:basedOn w:val="TableNormal"/>
    <w:next w:val="MediumShading1-Accent5"/>
    <w:uiPriority w:val="68"/>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FFFFFF"/>
      </w:rPr>
      <w:tblPr/>
      <w:tcPr>
        <w:shd w:val="clear" w:color="auto" w:fill="F2EFF6"/>
      </w:tcPr>
    </w:tblStylePr>
    <w:tblStylePr w:type="lastRow">
      <w:rPr>
        <w:b/>
        <w:bCs/>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shd w:val="clear" w:color="auto" w:fill="BFB1D0"/>
      </w:tcPr>
    </w:tblStylePr>
    <w:tblStylePr w:type="band2Horz">
      <w:tblPr/>
      <w:tcPr>
        <w:tcBorders>
          <w:insideH w:val="nil"/>
          <w:insideV w:val="nil"/>
        </w:tcBorders>
      </w:tcPr>
    </w:tblStylePr>
    <w:tblStylePr w:type="nwCell">
      <w:tblPr/>
      <w:tcPr>
        <w:shd w:val="clear" w:color="auto" w:fill="FFFFFF"/>
      </w:tcPr>
    </w:tblStylePr>
  </w:style>
  <w:style w:type="table" w:customStyle="1" w:styleId="MediumShading2-Accent53">
    <w:name w:val="Medium Shading 2 - Accent 53"/>
    <w:basedOn w:val="TableNormal"/>
    <w:next w:val="MediumShading2-Accent5"/>
    <w:uiPriority w:val="69"/>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color w:val="auto"/>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customStyle="1" w:styleId="MediumList1-Accent53">
    <w:name w:val="Medium List 1 - Accent 53"/>
    <w:basedOn w:val="TableNormal"/>
    <w:next w:val="MediumList1-Accent5"/>
    <w:uiPriority w:val="70"/>
    <w:qFormat/>
    <w:rsid w:val="004C1F83"/>
    <w:pPr>
      <w:spacing w:after="0" w:line="240" w:lineRule="auto"/>
    </w:pPr>
    <w:rPr>
      <w:rFonts w:ascii="Calibri" w:eastAsia="Calibri" w:hAnsi="Calibri" w:cs="Times New Roman"/>
      <w:kern w:val="0"/>
      <w:sz w:val="20"/>
      <w:szCs w:val="20"/>
      <w:lang w:val="en-PH" w:eastAsia="en-PH"/>
    </w:rPr>
    <w:tblPr>
      <w:tblInd w:w="0" w:type="dxa"/>
      <w:tblCellMar>
        <w:top w:w="0" w:type="dxa"/>
        <w:left w:w="108" w:type="dxa"/>
        <w:bottom w:w="0" w:type="dxa"/>
        <w:right w:w="108" w:type="dxa"/>
      </w:tblCellMar>
    </w:tblPr>
    <w:tcPr>
      <w:shd w:val="clear" w:color="auto" w:fill="8064A2"/>
    </w:tcPr>
    <w:tblStylePr w:type="firstRow">
      <w:rPr>
        <w:rFonts w:cs="Times New Roman"/>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b/>
        <w:bCs/>
        <w:color w:val="1F497D"/>
      </w:rPr>
      <w:tblPr/>
      <w:tcPr>
        <w:tcBorders>
          <w:top w:val="single" w:sz="18" w:space="0" w:color="FFFFFF"/>
          <w:left w:val="nil"/>
          <w:bottom w:val="nil"/>
          <w:right w:val="nil"/>
          <w:insideH w:val="nil"/>
          <w:insideV w:val="nil"/>
          <w:tl2br w:val="nil"/>
          <w:tr2bl w:val="nil"/>
        </w:tcBorders>
        <w:shd w:val="clear" w:color="auto" w:fill="3F3151"/>
      </w:tcPr>
    </w:tblStylePr>
    <w:tblStylePr w:type="firstCol">
      <w:rPr>
        <w:b/>
        <w:bCs/>
      </w:rPr>
      <w:tblPr/>
      <w:tcPr>
        <w:tcBorders>
          <w:top w:val="nil"/>
          <w:left w:val="nil"/>
          <w:bottom w:val="nil"/>
          <w:right w:val="single" w:sz="18" w:space="0" w:color="FFFFFF"/>
          <w:insideH w:val="nil"/>
          <w:insideV w:val="nil"/>
          <w:tl2br w:val="nil"/>
          <w:tr2bl w:val="nil"/>
        </w:tcBorders>
        <w:shd w:val="clear" w:color="auto" w:fill="5F497A"/>
      </w:tcPr>
    </w:tblStylePr>
    <w:tblStylePr w:type="lastCol">
      <w:rPr>
        <w:b/>
        <w:bCs/>
      </w:rPr>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customStyle="1" w:styleId="MediumList2-Accent33">
    <w:name w:val="Medium List 2 - Accent 33"/>
    <w:basedOn w:val="TableNormal"/>
    <w:next w:val="MediumList2-Accent3"/>
    <w:uiPriority w:val="7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6" w:space="0" w:color="FFFFFF"/>
          <w:left w:val="nil"/>
          <w:bottom w:val="nil"/>
          <w:right w:val="nil"/>
          <w:insideH w:val="nil"/>
          <w:insideV w:val="nil"/>
          <w:tl2br w:val="nil"/>
          <w:tr2bl w:val="nil"/>
        </w:tcBorders>
        <w:shd w:val="clear" w:color="auto" w:fill="772C2A"/>
      </w:tcPr>
    </w:tblStylePr>
    <w:tblStylePr w:type="firstCol">
      <w:tblPr/>
      <w:tcPr>
        <w:tcBorders>
          <w:top w:val="nil"/>
          <w:left w:val="nil"/>
          <w:bottom w:val="nil"/>
          <w:right w:val="nil"/>
          <w:insideH w:val="single" w:sz="4" w:space="0" w:color="auto"/>
          <w:insideV w:val="nil"/>
          <w:tl2br w:val="nil"/>
          <w:tr2bl w:val="nil"/>
        </w:tcBorders>
        <w:shd w:val="clear" w:color="auto" w:fill="772C2A"/>
      </w:tcPr>
    </w:tblStylePr>
    <w:tblStylePr w:type="lastCol">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wCell">
      <w:tblPr/>
      <w:tcPr>
        <w:shd w:val="clear" w:color="auto" w:fill="FFFFFF"/>
      </w:tcPr>
    </w:tblStylePr>
    <w:tblStylePr w:type="swCell">
      <w:tblPr/>
      <w:tcPr>
        <w:tcBorders>
          <w:top w:val="nil"/>
        </w:tcBorders>
      </w:tcPr>
    </w:tblStylePr>
  </w:style>
  <w:style w:type="table" w:customStyle="1" w:styleId="MediumGrid3-Accent23">
    <w:name w:val="Medium Grid 3 - Accent 23"/>
    <w:basedOn w:val="TableNormal"/>
    <w:next w:val="MediumGrid3-Accent2"/>
    <w:uiPriority w:val="60"/>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la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customStyle="1" w:styleId="DarkList-Accent23">
    <w:name w:val="Dark List - Accent 23"/>
    <w:basedOn w:val="TableNormal"/>
    <w:next w:val="DarkList-Accent2"/>
    <w:uiPriority w:val="6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b/>
        <w:bCs/>
      </w:rPr>
      <w:tblPr/>
      <w:tcPr>
        <w:shd w:val="clear" w:color="auto" w:fill="C0504D"/>
      </w:tcPr>
    </w:tblStylePr>
    <w:tblStylePr w:type="lastRow">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customStyle="1" w:styleId="ColorfulShading-Accent23">
    <w:name w:val="Colorful Shading - Accent 23"/>
    <w:basedOn w:val="TableNormal"/>
    <w:next w:val="ColorfulShading-Accent2"/>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rPr>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rPr>
        <w:b/>
        <w:bCs/>
        <w:color w:val="FFFFFF"/>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neCell">
      <w:rPr>
        <w:color w:val="000000"/>
      </w:rPr>
    </w:tblStylePr>
    <w:tblStylePr w:type="nwCell">
      <w:rPr>
        <w:color w:val="000000"/>
      </w:rPr>
    </w:tblStylePr>
  </w:style>
  <w:style w:type="table" w:customStyle="1" w:styleId="ColorfulShading-Accent33">
    <w:name w:val="Colorful Shading - Accent 33"/>
    <w:basedOn w:val="TableNormal"/>
    <w:next w:val="ColorfulShading-Accent3"/>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rPr>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rPr>
        <w:b/>
        <w:bCs/>
        <w:color w:val="FFFFFF"/>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ColorfulShading-Accent53">
    <w:name w:val="Colorful Shading - Accent 53"/>
    <w:basedOn w:val="TableNormal"/>
    <w:next w:val="ColorfulShading-Accent5"/>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rPr>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rPr>
        <w:b/>
        <w:bCs/>
        <w:color w:val="FFFFFF"/>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neCell">
      <w:rPr>
        <w:color w:val="000000"/>
      </w:rPr>
    </w:tblStylePr>
    <w:tblStylePr w:type="nwCell">
      <w:rPr>
        <w:color w:val="000000"/>
      </w:rPr>
    </w:tblStylePr>
  </w:style>
  <w:style w:type="table" w:customStyle="1" w:styleId="ColorfulList-Accent23">
    <w:name w:val="Colorful List - Accent 23"/>
    <w:basedOn w:val="TableNormal"/>
    <w:next w:val="ColorfulList-Accent2"/>
    <w:uiPriority w:val="63"/>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rPr>
        <w:b/>
        <w:bCs/>
        <w:color w:val="9E3A38"/>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shd w:val="clear" w:color="auto" w:fill="EFD3D2"/>
      </w:tcPr>
    </w:tblStylePr>
  </w:style>
  <w:style w:type="table" w:customStyle="1" w:styleId="LightList-Accent113">
    <w:name w:val="Light List - Accent 113"/>
    <w:basedOn w:val="TableNormal"/>
    <w:uiPriority w:val="6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tblPr/>
      <w:tcPr>
        <w:shd w:val="clear" w:color="auto" w:fill="4F81BD"/>
      </w:tcPr>
    </w:tblStylePr>
    <w:tblStylePr w:type="lastRow">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DarlingsStyle3">
    <w:name w:val="Darling's Style3"/>
    <w:basedOn w:val="TableNormal"/>
    <w:uiPriority w:val="99"/>
    <w:qFormat/>
    <w:rsid w:val="004C1F83"/>
    <w:pPr>
      <w:spacing w:after="0" w:line="240" w:lineRule="auto"/>
    </w:pPr>
    <w:rPr>
      <w:rFonts w:ascii="Calibri" w:eastAsia="Calibri" w:hAnsi="Calibri" w:cs="Times New Roman"/>
      <w:kern w:val="0"/>
      <w:sz w:val="20"/>
      <w:szCs w:val="20"/>
      <w:lang w:val="en-PH" w:eastAsia="en-PH"/>
    </w:rPr>
    <w:tblPr>
      <w:tblInd w:w="0" w:type="dxa"/>
      <w:tblCellMar>
        <w:top w:w="0" w:type="dxa"/>
        <w:left w:w="108" w:type="dxa"/>
        <w:bottom w:w="0" w:type="dxa"/>
        <w:right w:w="108" w:type="dxa"/>
      </w:tblCellMar>
    </w:tblPr>
  </w:style>
  <w:style w:type="table" w:customStyle="1" w:styleId="LightShading-Accent113">
    <w:name w:val="Light Shading - Accent 113"/>
    <w:basedOn w:val="TableNormal"/>
    <w:uiPriority w:val="60"/>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tblPr/>
      <w:tcPr>
        <w:tcBorders>
          <w:top w:val="single" w:sz="8" w:space="0" w:color="4F81BD"/>
          <w:left w:val="nil"/>
          <w:bottom w:val="single" w:sz="8" w:space="0" w:color="4F81BD"/>
          <w:right w:val="nil"/>
          <w:insideH w:val="nil"/>
          <w:insideV w:val="nil"/>
          <w:tl2br w:val="nil"/>
          <w:tr2bl w:val="nil"/>
        </w:tcBorders>
      </w:tcPr>
    </w:tblStylePr>
    <w:tblStylePr w:type="lastRow">
      <w:tblPr/>
      <w:tcPr>
        <w:tcBorders>
          <w:top w:val="single" w:sz="8" w:space="0" w:color="4F81BD"/>
          <w:left w:val="nil"/>
          <w:bottom w:val="single" w:sz="8" w:space="0" w:color="4F81BD"/>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customStyle="1" w:styleId="LightGrid-Accent113">
    <w:name w:val="Light Grid - Accent 113"/>
    <w:basedOn w:val="TableNormal"/>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lastCol">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table" w:customStyle="1" w:styleId="TableGrid43">
    <w:name w:val="Table Grid4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3">
    <w:name w:val="Table Grid6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
    <w:name w:val="Table Grid8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3">
    <w:name w:val="Table Grid9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
    <w:name w:val="Table Grid11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2">
    <w:name w:val="Table Grid12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
    <w:name w:val="Table Grid141"/>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 Grid151"/>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1">
    <w:name w:val="Table Grid161"/>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1">
    <w:name w:val="Table Grid171"/>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4C1F83"/>
  </w:style>
  <w:style w:type="table" w:customStyle="1" w:styleId="TableGrid20">
    <w:name w:val="Table Grid20"/>
    <w:basedOn w:val="TableNormal"/>
    <w:next w:val="TableGrid"/>
    <w:uiPriority w:val="59"/>
    <w:qFormat/>
    <w:rsid w:val="004C1F83"/>
    <w:pPr>
      <w:spacing w:after="0" w:line="240" w:lineRule="auto"/>
    </w:pPr>
    <w:rPr>
      <w:rFonts w:ascii="Calibri" w:eastAsia="Calibri" w:hAnsi="Calibri" w:cs="Times New Roman"/>
      <w:kern w:val="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uiPriority w:val="39"/>
    <w:qFormat/>
    <w:rsid w:val="004C1F83"/>
    <w:pPr>
      <w:spacing w:after="0" w:line="240" w:lineRule="auto"/>
    </w:pPr>
    <w:rPr>
      <w:rFonts w:ascii="Calibri" w:eastAsia="Calibri" w:hAnsi="Calibri" w:cs="Times New Roman"/>
      <w:kern w:val="0"/>
      <w:lang w:val="en-PH" w:eastAsia="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uiPriority w:val="39"/>
    <w:rsid w:val="004C1F83"/>
    <w:pPr>
      <w:spacing w:after="0" w:line="240" w:lineRule="auto"/>
    </w:pPr>
    <w:rPr>
      <w:rFonts w:ascii="Calibri" w:eastAsia="Calibri" w:hAnsi="Calibri" w:cs="Times New Roman"/>
      <w:kern w:val="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4C1F83"/>
  </w:style>
  <w:style w:type="numbering" w:customStyle="1" w:styleId="NoList114">
    <w:name w:val="No List114"/>
    <w:next w:val="NoList"/>
    <w:uiPriority w:val="99"/>
    <w:semiHidden/>
    <w:unhideWhenUsed/>
    <w:rsid w:val="004C1F83"/>
  </w:style>
  <w:style w:type="table" w:customStyle="1" w:styleId="TableGrid214">
    <w:name w:val="Table Grid214"/>
    <w:basedOn w:val="TableNormal"/>
    <w:next w:val="TableGrid"/>
    <w:uiPriority w:val="59"/>
    <w:rsid w:val="004C1F83"/>
    <w:pPr>
      <w:spacing w:after="0" w:line="240" w:lineRule="auto"/>
    </w:pPr>
    <w:rPr>
      <w:rFonts w:ascii="Times New Roman" w:eastAsia="Times New Roman" w:hAnsi="Times New Roman" w:cs="Times New Roman"/>
      <w:kern w:val="0"/>
      <w:sz w:val="20"/>
      <w:szCs w:val="20"/>
      <w:lang w:val="en-PH" w:eastAsia="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4">
    <w:name w:val="No List24"/>
    <w:next w:val="NoList"/>
    <w:uiPriority w:val="99"/>
    <w:semiHidden/>
    <w:unhideWhenUsed/>
    <w:rsid w:val="004C1F83"/>
  </w:style>
  <w:style w:type="table" w:customStyle="1" w:styleId="TableGrid34">
    <w:name w:val="Table Grid34"/>
    <w:basedOn w:val="TableNormal"/>
    <w:next w:val="TableGrid"/>
    <w:uiPriority w:val="59"/>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Grid-Accent34">
    <w:name w:val="Light Grid - Accent 34"/>
    <w:basedOn w:val="TableNormal"/>
    <w:next w:val="LightGrid-Accent3"/>
    <w:uiPriority w:val="67"/>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rPr>
        <w:rFonts w:cs="Times New Roman"/>
        <w:b/>
        <w:bCs/>
      </w:rPr>
      <w:tblPr/>
      <w:tcPr>
        <w:tcBorders>
          <w:top w:val="single" w:sz="18" w:space="0" w:color="CF7B7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shd w:val="clear" w:color="auto" w:fill="DFA7A6"/>
      </w:tcPr>
    </w:tblStylePr>
    <w:tblStylePr w:type="band1Horz">
      <w:tblPr/>
      <w:tcPr>
        <w:shd w:val="clear" w:color="auto" w:fill="DFA7A6"/>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customStyle="1" w:styleId="LightGrid-Accent54">
    <w:name w:val="Light Grid - Accent 54"/>
    <w:basedOn w:val="TableNormal"/>
    <w:next w:val="LightGrid-Accent5"/>
    <w:uiPriority w:val="67"/>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rPr>
        <w:rFonts w:cs="Times New Roman"/>
        <w:b/>
        <w:bCs/>
      </w:rPr>
      <w:tblPr/>
      <w:tcPr>
        <w:tcBorders>
          <w:top w:val="single" w:sz="18" w:space="0" w:color="9F8AB9"/>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shd w:val="clear" w:color="auto" w:fill="BFB1D0"/>
      </w:tcPr>
    </w:tblStylePr>
    <w:tblStylePr w:type="band1Horz">
      <w:tblPr/>
      <w:tcPr>
        <w:shd w:val="clear" w:color="auto" w:fill="BFB1D0"/>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MediumShading1-Accent54">
    <w:name w:val="Medium Shading 1 - Accent 54"/>
    <w:basedOn w:val="TableNormal"/>
    <w:next w:val="MediumShading1-Accent5"/>
    <w:uiPriority w:val="68"/>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FFFFFF"/>
      </w:rPr>
      <w:tblPr/>
      <w:tcPr>
        <w:shd w:val="clear" w:color="auto" w:fill="F2EFF6"/>
      </w:tcPr>
    </w:tblStylePr>
    <w:tblStylePr w:type="lastRow">
      <w:rPr>
        <w:b/>
        <w:bCs/>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shd w:val="clear" w:color="auto" w:fill="BFB1D0"/>
      </w:tcPr>
    </w:tblStylePr>
    <w:tblStylePr w:type="band2Horz">
      <w:tblPr/>
      <w:tcPr>
        <w:tcBorders>
          <w:insideH w:val="nil"/>
          <w:insideV w:val="nil"/>
        </w:tcBorders>
      </w:tcPr>
    </w:tblStylePr>
    <w:tblStylePr w:type="nwCell">
      <w:tblPr/>
      <w:tcPr>
        <w:shd w:val="clear" w:color="auto" w:fill="FFFFFF"/>
      </w:tcPr>
    </w:tblStylePr>
  </w:style>
  <w:style w:type="table" w:customStyle="1" w:styleId="MediumShading2-Accent54">
    <w:name w:val="Medium Shading 2 - Accent 54"/>
    <w:basedOn w:val="TableNormal"/>
    <w:next w:val="MediumShading2-Accent5"/>
    <w:uiPriority w:val="69"/>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color w:val="auto"/>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customStyle="1" w:styleId="MediumList1-Accent54">
    <w:name w:val="Medium List 1 - Accent 54"/>
    <w:basedOn w:val="TableNormal"/>
    <w:next w:val="MediumList1-Accent5"/>
    <w:uiPriority w:val="70"/>
    <w:qFormat/>
    <w:rsid w:val="004C1F83"/>
    <w:pPr>
      <w:spacing w:after="0" w:line="240" w:lineRule="auto"/>
    </w:pPr>
    <w:rPr>
      <w:rFonts w:ascii="Calibri" w:eastAsia="Calibri" w:hAnsi="Calibri" w:cs="Times New Roman"/>
      <w:kern w:val="0"/>
      <w:sz w:val="20"/>
      <w:szCs w:val="20"/>
      <w:lang w:val="en-PH" w:eastAsia="en-PH"/>
    </w:rPr>
    <w:tblPr>
      <w:tblInd w:w="0" w:type="dxa"/>
      <w:tblCellMar>
        <w:top w:w="0" w:type="dxa"/>
        <w:left w:w="108" w:type="dxa"/>
        <w:bottom w:w="0" w:type="dxa"/>
        <w:right w:w="108" w:type="dxa"/>
      </w:tblCellMar>
    </w:tblPr>
    <w:tcPr>
      <w:shd w:val="clear" w:color="auto" w:fill="8064A2"/>
    </w:tcPr>
    <w:tblStylePr w:type="firstRow">
      <w:rPr>
        <w:rFonts w:cs="Times New Roman"/>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b/>
        <w:bCs/>
        <w:color w:val="1F497D"/>
      </w:rPr>
      <w:tblPr/>
      <w:tcPr>
        <w:tcBorders>
          <w:top w:val="single" w:sz="18" w:space="0" w:color="FFFFFF"/>
          <w:left w:val="nil"/>
          <w:bottom w:val="nil"/>
          <w:right w:val="nil"/>
          <w:insideH w:val="nil"/>
          <w:insideV w:val="nil"/>
          <w:tl2br w:val="nil"/>
          <w:tr2bl w:val="nil"/>
        </w:tcBorders>
        <w:shd w:val="clear" w:color="auto" w:fill="3F3151"/>
      </w:tcPr>
    </w:tblStylePr>
    <w:tblStylePr w:type="firstCol">
      <w:rPr>
        <w:b/>
        <w:bCs/>
      </w:rPr>
      <w:tblPr/>
      <w:tcPr>
        <w:tcBorders>
          <w:top w:val="nil"/>
          <w:left w:val="nil"/>
          <w:bottom w:val="nil"/>
          <w:right w:val="single" w:sz="18" w:space="0" w:color="FFFFFF"/>
          <w:insideH w:val="nil"/>
          <w:insideV w:val="nil"/>
          <w:tl2br w:val="nil"/>
          <w:tr2bl w:val="nil"/>
        </w:tcBorders>
        <w:shd w:val="clear" w:color="auto" w:fill="5F497A"/>
      </w:tcPr>
    </w:tblStylePr>
    <w:tblStylePr w:type="lastCol">
      <w:rPr>
        <w:b/>
        <w:bCs/>
      </w:rPr>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customStyle="1" w:styleId="MediumList2-Accent34">
    <w:name w:val="Medium List 2 - Accent 34"/>
    <w:basedOn w:val="TableNormal"/>
    <w:next w:val="MediumList2-Accent3"/>
    <w:uiPriority w:val="7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6" w:space="0" w:color="FFFFFF"/>
          <w:left w:val="nil"/>
          <w:bottom w:val="nil"/>
          <w:right w:val="nil"/>
          <w:insideH w:val="nil"/>
          <w:insideV w:val="nil"/>
          <w:tl2br w:val="nil"/>
          <w:tr2bl w:val="nil"/>
        </w:tcBorders>
        <w:shd w:val="clear" w:color="auto" w:fill="772C2A"/>
      </w:tcPr>
    </w:tblStylePr>
    <w:tblStylePr w:type="firstCol">
      <w:tblPr/>
      <w:tcPr>
        <w:tcBorders>
          <w:top w:val="nil"/>
          <w:left w:val="nil"/>
          <w:bottom w:val="nil"/>
          <w:right w:val="nil"/>
          <w:insideH w:val="single" w:sz="4" w:space="0" w:color="auto"/>
          <w:insideV w:val="nil"/>
          <w:tl2br w:val="nil"/>
          <w:tr2bl w:val="nil"/>
        </w:tcBorders>
        <w:shd w:val="clear" w:color="auto" w:fill="772C2A"/>
      </w:tcPr>
    </w:tblStylePr>
    <w:tblStylePr w:type="lastCol">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wCell">
      <w:tblPr/>
      <w:tcPr>
        <w:shd w:val="clear" w:color="auto" w:fill="FFFFFF"/>
      </w:tcPr>
    </w:tblStylePr>
    <w:tblStylePr w:type="swCell">
      <w:tblPr/>
      <w:tcPr>
        <w:tcBorders>
          <w:top w:val="nil"/>
        </w:tcBorders>
      </w:tcPr>
    </w:tblStylePr>
  </w:style>
  <w:style w:type="table" w:customStyle="1" w:styleId="MediumGrid3-Accent24">
    <w:name w:val="Medium Grid 3 - Accent 24"/>
    <w:basedOn w:val="TableNormal"/>
    <w:next w:val="MediumGrid3-Accent2"/>
    <w:uiPriority w:val="60"/>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lastRow">
      <w:rPr>
        <w:b/>
        <w:bCs/>
        <w:i w:val="0"/>
        <w:iCs w:val="0"/>
        <w:color w:val="FFFFFF"/>
      </w:rPr>
      <w:tblPr/>
      <w:tcPr>
        <w:tcBorders>
          <w:top w:val="single" w:sz="8" w:space="0" w:color="C0504D"/>
          <w:left w:val="nil"/>
          <w:bottom w:val="single" w:sz="8" w:space="0" w:color="C0504D"/>
          <w:right w:val="nil"/>
          <w:insideH w:val="nil"/>
          <w:insideV w:val="nil"/>
          <w:tl2br w:val="nil"/>
          <w:tr2bl w:val="nil"/>
        </w:tcBorders>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customStyle="1" w:styleId="DarkList-Accent24">
    <w:name w:val="Dark List - Accent 24"/>
    <w:basedOn w:val="TableNormal"/>
    <w:next w:val="DarkList-Accent2"/>
    <w:uiPriority w:val="6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b/>
        <w:bCs/>
      </w:rPr>
      <w:tblPr/>
      <w:tcPr>
        <w:shd w:val="clear" w:color="auto" w:fill="C0504D"/>
      </w:tcPr>
    </w:tblStylePr>
    <w:tblStylePr w:type="lastRow">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customStyle="1" w:styleId="ColorfulShading-Accent24">
    <w:name w:val="Colorful Shading - Accent 24"/>
    <w:basedOn w:val="TableNormal"/>
    <w:next w:val="ColorfulShading-Accent2"/>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rPr>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rPr>
        <w:b/>
        <w:bCs/>
        <w:color w:val="FFFFFF"/>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neCell">
      <w:rPr>
        <w:color w:val="000000"/>
      </w:rPr>
    </w:tblStylePr>
    <w:tblStylePr w:type="nwCell">
      <w:rPr>
        <w:color w:val="000000"/>
      </w:rPr>
    </w:tblStylePr>
  </w:style>
  <w:style w:type="table" w:customStyle="1" w:styleId="ColorfulShading-Accent34">
    <w:name w:val="Colorful Shading - Accent 34"/>
    <w:basedOn w:val="TableNormal"/>
    <w:next w:val="ColorfulShading-Accent3"/>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rPr>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rPr>
        <w:b/>
        <w:bCs/>
        <w:color w:val="FFFFFF"/>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ColorfulShading-Accent54">
    <w:name w:val="Colorful Shading - Accent 54"/>
    <w:basedOn w:val="TableNormal"/>
    <w:next w:val="ColorfulShading-Accent5"/>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rPr>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rPr>
        <w:b/>
        <w:bCs/>
        <w:color w:val="FFFFFF"/>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neCell">
      <w:rPr>
        <w:color w:val="000000"/>
      </w:rPr>
    </w:tblStylePr>
    <w:tblStylePr w:type="nwCell">
      <w:rPr>
        <w:color w:val="000000"/>
      </w:rPr>
    </w:tblStylePr>
  </w:style>
  <w:style w:type="table" w:customStyle="1" w:styleId="ColorfulList-Accent24">
    <w:name w:val="Colorful List - Accent 24"/>
    <w:basedOn w:val="TableNormal"/>
    <w:next w:val="ColorfulList-Accent2"/>
    <w:uiPriority w:val="63"/>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rPr>
        <w:b/>
        <w:bCs/>
        <w:color w:val="9E3A38"/>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shd w:val="clear" w:color="auto" w:fill="EFD3D2"/>
      </w:tcPr>
    </w:tblStylePr>
  </w:style>
  <w:style w:type="table" w:customStyle="1" w:styleId="LightList-Accent114">
    <w:name w:val="Light List - Accent 114"/>
    <w:basedOn w:val="TableNormal"/>
    <w:uiPriority w:val="61"/>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tblPr/>
      <w:tcPr>
        <w:shd w:val="clear" w:color="auto" w:fill="4F81BD"/>
      </w:tcPr>
    </w:tblStylePr>
    <w:tblStylePr w:type="lastRow">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DarlingsStyle4">
    <w:name w:val="Darling's Style4"/>
    <w:basedOn w:val="TableNormal"/>
    <w:uiPriority w:val="99"/>
    <w:qFormat/>
    <w:rsid w:val="004C1F83"/>
    <w:pPr>
      <w:spacing w:after="0" w:line="240" w:lineRule="auto"/>
    </w:pPr>
    <w:rPr>
      <w:rFonts w:ascii="Calibri" w:eastAsia="Calibri" w:hAnsi="Calibri" w:cs="Times New Roman"/>
      <w:kern w:val="0"/>
      <w:sz w:val="20"/>
      <w:szCs w:val="20"/>
      <w:lang w:val="en-PH" w:eastAsia="en-PH"/>
    </w:rPr>
    <w:tblPr>
      <w:tblInd w:w="0" w:type="dxa"/>
      <w:tblCellMar>
        <w:top w:w="0" w:type="dxa"/>
        <w:left w:w="108" w:type="dxa"/>
        <w:bottom w:w="0" w:type="dxa"/>
        <w:right w:w="108" w:type="dxa"/>
      </w:tblCellMar>
    </w:tblPr>
  </w:style>
  <w:style w:type="table" w:customStyle="1" w:styleId="LightShading-Accent114">
    <w:name w:val="Light Shading - Accent 114"/>
    <w:basedOn w:val="TableNormal"/>
    <w:uiPriority w:val="60"/>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tblPr/>
      <w:tcPr>
        <w:tcBorders>
          <w:top w:val="single" w:sz="8" w:space="0" w:color="4F81BD"/>
          <w:left w:val="nil"/>
          <w:bottom w:val="single" w:sz="8" w:space="0" w:color="4F81BD"/>
          <w:right w:val="nil"/>
          <w:insideH w:val="nil"/>
          <w:insideV w:val="nil"/>
          <w:tl2br w:val="nil"/>
          <w:tr2bl w:val="nil"/>
        </w:tcBorders>
      </w:tcPr>
    </w:tblStylePr>
    <w:tblStylePr w:type="lastRow">
      <w:tblPr/>
      <w:tcPr>
        <w:tcBorders>
          <w:top w:val="single" w:sz="8" w:space="0" w:color="4F81BD"/>
          <w:left w:val="nil"/>
          <w:bottom w:val="single" w:sz="8" w:space="0" w:color="4F81BD"/>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customStyle="1" w:styleId="LightGrid-Accent114">
    <w:name w:val="Light Grid - Accent 114"/>
    <w:basedOn w:val="TableNormal"/>
    <w:uiPriority w:val="62"/>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lastCol">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table" w:customStyle="1" w:styleId="TableGrid44">
    <w:name w:val="Table Grid4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4">
    <w:name w:val="Table Grid5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4">
    <w:name w:val="Table Grid6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4">
    <w:name w:val="Table Grid7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
    <w:name w:val="Table Grid8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4">
    <w:name w:val="Table Grid9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3">
    <w:name w:val="Table Grid10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4">
    <w:name w:val="Table Grid114"/>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3">
    <w:name w:val="Table Grid123"/>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
    <w:name w:val="Table Grid14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2">
    <w:name w:val="Table Grid15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 Grid16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2">
    <w:name w:val="Table Grid172"/>
    <w:basedOn w:val="TableNormal"/>
    <w:next w:val="TableGrid"/>
    <w:uiPriority w:val="39"/>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spacing0">
    <w:name w:val="msonospacing"/>
    <w:rsid w:val="004C1F83"/>
    <w:pPr>
      <w:spacing w:after="0" w:line="240" w:lineRule="auto"/>
    </w:pPr>
    <w:rPr>
      <w:rFonts w:ascii="Calibri" w:eastAsia="Calibri" w:hAnsi="Calibri" w:cs="Times New Roman" w:hint="eastAsia"/>
      <w:kern w:val="0"/>
      <w:lang w:eastAsia="zh-CN"/>
    </w:rPr>
  </w:style>
  <w:style w:type="paragraph" w:customStyle="1" w:styleId="gb-headline">
    <w:name w:val="gb-headline"/>
    <w:basedOn w:val="Normal"/>
    <w:rsid w:val="004C1F83"/>
    <w:pPr>
      <w:spacing w:before="100" w:beforeAutospacing="1" w:after="100" w:afterAutospacing="1" w:line="240" w:lineRule="auto"/>
    </w:pPr>
    <w:rPr>
      <w:rFonts w:ascii="Times New Roman" w:eastAsia="Times New Roman" w:hAnsi="Times New Roman"/>
      <w:sz w:val="24"/>
      <w:szCs w:val="24"/>
      <w:lang w:val="en-PH" w:eastAsia="en-PH"/>
    </w:rPr>
  </w:style>
  <w:style w:type="table" w:customStyle="1" w:styleId="TableGrid95">
    <w:name w:val="Table Grid95"/>
    <w:basedOn w:val="TableNormal"/>
    <w:uiPriority w:val="39"/>
    <w:qFormat/>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51">
    <w:name w:val="Table Grid951"/>
    <w:basedOn w:val="TableNormal"/>
    <w:uiPriority w:val="39"/>
    <w:qFormat/>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52">
    <w:name w:val="Table Grid952"/>
    <w:basedOn w:val="TableNormal"/>
    <w:uiPriority w:val="39"/>
    <w:qFormat/>
    <w:rsid w:val="004C1F83"/>
    <w:pPr>
      <w:spacing w:after="0" w:line="240" w:lineRule="auto"/>
    </w:pPr>
    <w:rPr>
      <w:rFonts w:ascii="Calibri" w:eastAsia="Calibri" w:hAnsi="Calibri" w:cs="Times New Roman"/>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basedOn w:val="TableNormal"/>
    <w:next w:val="TableGrid"/>
    <w:uiPriority w:val="39"/>
    <w:rsid w:val="004C1F83"/>
    <w:pPr>
      <w:spacing w:after="0" w:line="240" w:lineRule="auto"/>
    </w:pPr>
    <w:rPr>
      <w:rFonts w:ascii="Calibri" w:eastAsia="Calibri" w:hAnsi="Calibri" w:cs="Cordia New"/>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39"/>
    <w:rsid w:val="004C1F83"/>
    <w:pPr>
      <w:spacing w:after="0" w:line="240" w:lineRule="auto"/>
    </w:pPr>
    <w:rPr>
      <w:rFonts w:ascii="Calibri" w:eastAsia="Calibri" w:hAnsi="Calibri" w:cs="Cordia New"/>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39"/>
    <w:rsid w:val="004C1F83"/>
    <w:pPr>
      <w:spacing w:after="0" w:line="240" w:lineRule="auto"/>
    </w:pPr>
    <w:rPr>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39"/>
    <w:rsid w:val="004C1F83"/>
    <w:pPr>
      <w:spacing w:after="0" w:line="240" w:lineRule="auto"/>
    </w:pPr>
    <w:rPr>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39"/>
    <w:rsid w:val="004C1F83"/>
    <w:pPr>
      <w:spacing w:after="0" w:line="240" w:lineRule="auto"/>
    </w:pPr>
    <w:rPr>
      <w:kern w:val="0"/>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4C1F83"/>
  </w:style>
  <w:style w:type="table" w:customStyle="1" w:styleId="TableGrid30">
    <w:name w:val="Table Grid30"/>
    <w:basedOn w:val="TableNormal"/>
    <w:next w:val="TableGrid"/>
    <w:uiPriority w:val="59"/>
    <w:rsid w:val="004C1F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3">
    <w:name w:val="Table Grid143"/>
    <w:basedOn w:val="TableNormal"/>
    <w:next w:val="TableGrid"/>
    <w:uiPriority w:val="59"/>
    <w:qFormat/>
    <w:rsid w:val="004C1F83"/>
    <w:pPr>
      <w:spacing w:after="0" w:line="240" w:lineRule="auto"/>
    </w:pPr>
    <w:rPr>
      <w:rFonts w:ascii="Calibri" w:eastAsia="Calibri" w:hAnsi="Calibri" w:cs="Times New Roman"/>
      <w:kern w:val="0"/>
      <w:sz w:val="20"/>
      <w:szCs w:val="20"/>
      <w:lang w:val="en-PH" w:eastAsia="en-PH"/>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Bullet">
    <w:name w:val="List Bullet"/>
    <w:basedOn w:val="Normal"/>
    <w:uiPriority w:val="99"/>
    <w:unhideWhenUsed/>
    <w:rsid w:val="00A91F91"/>
    <w:pPr>
      <w:numPr>
        <w:numId w:val="4"/>
      </w:numPr>
      <w:spacing w:after="120" w:line="276" w:lineRule="auto"/>
      <w:contextualSpacing/>
    </w:pPr>
    <w:rPr>
      <w:rFonts w:ascii="Times New Roman" w:eastAsiaTheme="minorEastAsia" w:hAnsi="Times New Roman" w:cstheme="minorBidi"/>
      <w:color w:val="1E1E1E"/>
    </w:rPr>
  </w:style>
</w:styles>
</file>

<file path=word/webSettings.xml><?xml version="1.0" encoding="utf-8"?>
<w:webSettings xmlns:r="http://schemas.openxmlformats.org/officeDocument/2006/relationships" xmlns:w="http://schemas.openxmlformats.org/wordprocessingml/2006/main">
  <w:divs>
    <w:div w:id="23096817">
      <w:bodyDiv w:val="1"/>
      <w:marLeft w:val="0"/>
      <w:marRight w:val="0"/>
      <w:marTop w:val="0"/>
      <w:marBottom w:val="0"/>
      <w:divBdr>
        <w:top w:val="none" w:sz="0" w:space="0" w:color="auto"/>
        <w:left w:val="none" w:sz="0" w:space="0" w:color="auto"/>
        <w:bottom w:val="none" w:sz="0" w:space="0" w:color="auto"/>
        <w:right w:val="none" w:sz="0" w:space="0" w:color="auto"/>
      </w:divBdr>
    </w:div>
    <w:div w:id="79954652">
      <w:bodyDiv w:val="1"/>
      <w:marLeft w:val="0"/>
      <w:marRight w:val="0"/>
      <w:marTop w:val="0"/>
      <w:marBottom w:val="0"/>
      <w:divBdr>
        <w:top w:val="none" w:sz="0" w:space="0" w:color="auto"/>
        <w:left w:val="none" w:sz="0" w:space="0" w:color="auto"/>
        <w:bottom w:val="none" w:sz="0" w:space="0" w:color="auto"/>
        <w:right w:val="none" w:sz="0" w:space="0" w:color="auto"/>
      </w:divBdr>
    </w:div>
    <w:div w:id="143550158">
      <w:bodyDiv w:val="1"/>
      <w:marLeft w:val="0"/>
      <w:marRight w:val="0"/>
      <w:marTop w:val="0"/>
      <w:marBottom w:val="0"/>
      <w:divBdr>
        <w:top w:val="none" w:sz="0" w:space="0" w:color="auto"/>
        <w:left w:val="none" w:sz="0" w:space="0" w:color="auto"/>
        <w:bottom w:val="none" w:sz="0" w:space="0" w:color="auto"/>
        <w:right w:val="none" w:sz="0" w:space="0" w:color="auto"/>
      </w:divBdr>
    </w:div>
    <w:div w:id="166679206">
      <w:bodyDiv w:val="1"/>
      <w:marLeft w:val="0"/>
      <w:marRight w:val="0"/>
      <w:marTop w:val="0"/>
      <w:marBottom w:val="0"/>
      <w:divBdr>
        <w:top w:val="none" w:sz="0" w:space="0" w:color="auto"/>
        <w:left w:val="none" w:sz="0" w:space="0" w:color="auto"/>
        <w:bottom w:val="none" w:sz="0" w:space="0" w:color="auto"/>
        <w:right w:val="none" w:sz="0" w:space="0" w:color="auto"/>
      </w:divBdr>
    </w:div>
    <w:div w:id="293565515">
      <w:bodyDiv w:val="1"/>
      <w:marLeft w:val="0"/>
      <w:marRight w:val="0"/>
      <w:marTop w:val="0"/>
      <w:marBottom w:val="0"/>
      <w:divBdr>
        <w:top w:val="none" w:sz="0" w:space="0" w:color="auto"/>
        <w:left w:val="none" w:sz="0" w:space="0" w:color="auto"/>
        <w:bottom w:val="none" w:sz="0" w:space="0" w:color="auto"/>
        <w:right w:val="none" w:sz="0" w:space="0" w:color="auto"/>
      </w:divBdr>
    </w:div>
    <w:div w:id="336815133">
      <w:bodyDiv w:val="1"/>
      <w:marLeft w:val="0"/>
      <w:marRight w:val="0"/>
      <w:marTop w:val="0"/>
      <w:marBottom w:val="0"/>
      <w:divBdr>
        <w:top w:val="none" w:sz="0" w:space="0" w:color="auto"/>
        <w:left w:val="none" w:sz="0" w:space="0" w:color="auto"/>
        <w:bottom w:val="none" w:sz="0" w:space="0" w:color="auto"/>
        <w:right w:val="none" w:sz="0" w:space="0" w:color="auto"/>
      </w:divBdr>
    </w:div>
    <w:div w:id="436801959">
      <w:bodyDiv w:val="1"/>
      <w:marLeft w:val="0"/>
      <w:marRight w:val="0"/>
      <w:marTop w:val="0"/>
      <w:marBottom w:val="0"/>
      <w:divBdr>
        <w:top w:val="none" w:sz="0" w:space="0" w:color="auto"/>
        <w:left w:val="none" w:sz="0" w:space="0" w:color="auto"/>
        <w:bottom w:val="none" w:sz="0" w:space="0" w:color="auto"/>
        <w:right w:val="none" w:sz="0" w:space="0" w:color="auto"/>
      </w:divBdr>
    </w:div>
    <w:div w:id="543174190">
      <w:bodyDiv w:val="1"/>
      <w:marLeft w:val="0"/>
      <w:marRight w:val="0"/>
      <w:marTop w:val="0"/>
      <w:marBottom w:val="0"/>
      <w:divBdr>
        <w:top w:val="none" w:sz="0" w:space="0" w:color="auto"/>
        <w:left w:val="none" w:sz="0" w:space="0" w:color="auto"/>
        <w:bottom w:val="none" w:sz="0" w:space="0" w:color="auto"/>
        <w:right w:val="none" w:sz="0" w:space="0" w:color="auto"/>
      </w:divBdr>
    </w:div>
    <w:div w:id="576212424">
      <w:bodyDiv w:val="1"/>
      <w:marLeft w:val="0"/>
      <w:marRight w:val="0"/>
      <w:marTop w:val="0"/>
      <w:marBottom w:val="0"/>
      <w:divBdr>
        <w:top w:val="none" w:sz="0" w:space="0" w:color="auto"/>
        <w:left w:val="none" w:sz="0" w:space="0" w:color="auto"/>
        <w:bottom w:val="none" w:sz="0" w:space="0" w:color="auto"/>
        <w:right w:val="none" w:sz="0" w:space="0" w:color="auto"/>
      </w:divBdr>
    </w:div>
    <w:div w:id="626277154">
      <w:bodyDiv w:val="1"/>
      <w:marLeft w:val="0"/>
      <w:marRight w:val="0"/>
      <w:marTop w:val="0"/>
      <w:marBottom w:val="0"/>
      <w:divBdr>
        <w:top w:val="none" w:sz="0" w:space="0" w:color="auto"/>
        <w:left w:val="none" w:sz="0" w:space="0" w:color="auto"/>
        <w:bottom w:val="none" w:sz="0" w:space="0" w:color="auto"/>
        <w:right w:val="none" w:sz="0" w:space="0" w:color="auto"/>
      </w:divBdr>
    </w:div>
    <w:div w:id="633944976">
      <w:bodyDiv w:val="1"/>
      <w:marLeft w:val="0"/>
      <w:marRight w:val="0"/>
      <w:marTop w:val="0"/>
      <w:marBottom w:val="0"/>
      <w:divBdr>
        <w:top w:val="none" w:sz="0" w:space="0" w:color="auto"/>
        <w:left w:val="none" w:sz="0" w:space="0" w:color="auto"/>
        <w:bottom w:val="none" w:sz="0" w:space="0" w:color="auto"/>
        <w:right w:val="none" w:sz="0" w:space="0" w:color="auto"/>
      </w:divBdr>
    </w:div>
    <w:div w:id="752244610">
      <w:bodyDiv w:val="1"/>
      <w:marLeft w:val="0"/>
      <w:marRight w:val="0"/>
      <w:marTop w:val="0"/>
      <w:marBottom w:val="0"/>
      <w:divBdr>
        <w:top w:val="none" w:sz="0" w:space="0" w:color="auto"/>
        <w:left w:val="none" w:sz="0" w:space="0" w:color="auto"/>
        <w:bottom w:val="none" w:sz="0" w:space="0" w:color="auto"/>
        <w:right w:val="none" w:sz="0" w:space="0" w:color="auto"/>
      </w:divBdr>
    </w:div>
    <w:div w:id="786658992">
      <w:bodyDiv w:val="1"/>
      <w:marLeft w:val="0"/>
      <w:marRight w:val="0"/>
      <w:marTop w:val="0"/>
      <w:marBottom w:val="0"/>
      <w:divBdr>
        <w:top w:val="none" w:sz="0" w:space="0" w:color="auto"/>
        <w:left w:val="none" w:sz="0" w:space="0" w:color="auto"/>
        <w:bottom w:val="none" w:sz="0" w:space="0" w:color="auto"/>
        <w:right w:val="none" w:sz="0" w:space="0" w:color="auto"/>
      </w:divBdr>
    </w:div>
    <w:div w:id="837035196">
      <w:bodyDiv w:val="1"/>
      <w:marLeft w:val="0"/>
      <w:marRight w:val="0"/>
      <w:marTop w:val="0"/>
      <w:marBottom w:val="0"/>
      <w:divBdr>
        <w:top w:val="none" w:sz="0" w:space="0" w:color="auto"/>
        <w:left w:val="none" w:sz="0" w:space="0" w:color="auto"/>
        <w:bottom w:val="none" w:sz="0" w:space="0" w:color="auto"/>
        <w:right w:val="none" w:sz="0" w:space="0" w:color="auto"/>
      </w:divBdr>
    </w:div>
    <w:div w:id="860707272">
      <w:bodyDiv w:val="1"/>
      <w:marLeft w:val="0"/>
      <w:marRight w:val="0"/>
      <w:marTop w:val="0"/>
      <w:marBottom w:val="0"/>
      <w:divBdr>
        <w:top w:val="none" w:sz="0" w:space="0" w:color="auto"/>
        <w:left w:val="none" w:sz="0" w:space="0" w:color="auto"/>
        <w:bottom w:val="none" w:sz="0" w:space="0" w:color="auto"/>
        <w:right w:val="none" w:sz="0" w:space="0" w:color="auto"/>
      </w:divBdr>
    </w:div>
    <w:div w:id="891232379">
      <w:bodyDiv w:val="1"/>
      <w:marLeft w:val="0"/>
      <w:marRight w:val="0"/>
      <w:marTop w:val="0"/>
      <w:marBottom w:val="0"/>
      <w:divBdr>
        <w:top w:val="none" w:sz="0" w:space="0" w:color="auto"/>
        <w:left w:val="none" w:sz="0" w:space="0" w:color="auto"/>
        <w:bottom w:val="none" w:sz="0" w:space="0" w:color="auto"/>
        <w:right w:val="none" w:sz="0" w:space="0" w:color="auto"/>
      </w:divBdr>
    </w:div>
    <w:div w:id="899823737">
      <w:bodyDiv w:val="1"/>
      <w:marLeft w:val="0"/>
      <w:marRight w:val="0"/>
      <w:marTop w:val="0"/>
      <w:marBottom w:val="0"/>
      <w:divBdr>
        <w:top w:val="none" w:sz="0" w:space="0" w:color="auto"/>
        <w:left w:val="none" w:sz="0" w:space="0" w:color="auto"/>
        <w:bottom w:val="none" w:sz="0" w:space="0" w:color="auto"/>
        <w:right w:val="none" w:sz="0" w:space="0" w:color="auto"/>
      </w:divBdr>
    </w:div>
    <w:div w:id="903610975">
      <w:bodyDiv w:val="1"/>
      <w:marLeft w:val="0"/>
      <w:marRight w:val="0"/>
      <w:marTop w:val="0"/>
      <w:marBottom w:val="0"/>
      <w:divBdr>
        <w:top w:val="none" w:sz="0" w:space="0" w:color="auto"/>
        <w:left w:val="none" w:sz="0" w:space="0" w:color="auto"/>
        <w:bottom w:val="none" w:sz="0" w:space="0" w:color="auto"/>
        <w:right w:val="none" w:sz="0" w:space="0" w:color="auto"/>
      </w:divBdr>
    </w:div>
    <w:div w:id="958295914">
      <w:bodyDiv w:val="1"/>
      <w:marLeft w:val="0"/>
      <w:marRight w:val="0"/>
      <w:marTop w:val="0"/>
      <w:marBottom w:val="0"/>
      <w:divBdr>
        <w:top w:val="none" w:sz="0" w:space="0" w:color="auto"/>
        <w:left w:val="none" w:sz="0" w:space="0" w:color="auto"/>
        <w:bottom w:val="none" w:sz="0" w:space="0" w:color="auto"/>
        <w:right w:val="none" w:sz="0" w:space="0" w:color="auto"/>
      </w:divBdr>
    </w:div>
    <w:div w:id="1033918191">
      <w:bodyDiv w:val="1"/>
      <w:marLeft w:val="0"/>
      <w:marRight w:val="0"/>
      <w:marTop w:val="0"/>
      <w:marBottom w:val="0"/>
      <w:divBdr>
        <w:top w:val="none" w:sz="0" w:space="0" w:color="auto"/>
        <w:left w:val="none" w:sz="0" w:space="0" w:color="auto"/>
        <w:bottom w:val="none" w:sz="0" w:space="0" w:color="auto"/>
        <w:right w:val="none" w:sz="0" w:space="0" w:color="auto"/>
      </w:divBdr>
    </w:div>
    <w:div w:id="1091046023">
      <w:bodyDiv w:val="1"/>
      <w:marLeft w:val="0"/>
      <w:marRight w:val="0"/>
      <w:marTop w:val="0"/>
      <w:marBottom w:val="0"/>
      <w:divBdr>
        <w:top w:val="none" w:sz="0" w:space="0" w:color="auto"/>
        <w:left w:val="none" w:sz="0" w:space="0" w:color="auto"/>
        <w:bottom w:val="none" w:sz="0" w:space="0" w:color="auto"/>
        <w:right w:val="none" w:sz="0" w:space="0" w:color="auto"/>
      </w:divBdr>
    </w:div>
    <w:div w:id="1229000085">
      <w:bodyDiv w:val="1"/>
      <w:marLeft w:val="0"/>
      <w:marRight w:val="0"/>
      <w:marTop w:val="0"/>
      <w:marBottom w:val="0"/>
      <w:divBdr>
        <w:top w:val="none" w:sz="0" w:space="0" w:color="auto"/>
        <w:left w:val="none" w:sz="0" w:space="0" w:color="auto"/>
        <w:bottom w:val="none" w:sz="0" w:space="0" w:color="auto"/>
        <w:right w:val="none" w:sz="0" w:space="0" w:color="auto"/>
      </w:divBdr>
    </w:div>
    <w:div w:id="1268347836">
      <w:bodyDiv w:val="1"/>
      <w:marLeft w:val="0"/>
      <w:marRight w:val="0"/>
      <w:marTop w:val="0"/>
      <w:marBottom w:val="0"/>
      <w:divBdr>
        <w:top w:val="none" w:sz="0" w:space="0" w:color="auto"/>
        <w:left w:val="none" w:sz="0" w:space="0" w:color="auto"/>
        <w:bottom w:val="none" w:sz="0" w:space="0" w:color="auto"/>
        <w:right w:val="none" w:sz="0" w:space="0" w:color="auto"/>
      </w:divBdr>
    </w:div>
    <w:div w:id="1383820565">
      <w:bodyDiv w:val="1"/>
      <w:marLeft w:val="0"/>
      <w:marRight w:val="0"/>
      <w:marTop w:val="0"/>
      <w:marBottom w:val="0"/>
      <w:divBdr>
        <w:top w:val="none" w:sz="0" w:space="0" w:color="auto"/>
        <w:left w:val="none" w:sz="0" w:space="0" w:color="auto"/>
        <w:bottom w:val="none" w:sz="0" w:space="0" w:color="auto"/>
        <w:right w:val="none" w:sz="0" w:space="0" w:color="auto"/>
      </w:divBdr>
    </w:div>
    <w:div w:id="1400907025">
      <w:bodyDiv w:val="1"/>
      <w:marLeft w:val="0"/>
      <w:marRight w:val="0"/>
      <w:marTop w:val="0"/>
      <w:marBottom w:val="0"/>
      <w:divBdr>
        <w:top w:val="none" w:sz="0" w:space="0" w:color="auto"/>
        <w:left w:val="none" w:sz="0" w:space="0" w:color="auto"/>
        <w:bottom w:val="none" w:sz="0" w:space="0" w:color="auto"/>
        <w:right w:val="none" w:sz="0" w:space="0" w:color="auto"/>
      </w:divBdr>
    </w:div>
    <w:div w:id="1433162857">
      <w:bodyDiv w:val="1"/>
      <w:marLeft w:val="0"/>
      <w:marRight w:val="0"/>
      <w:marTop w:val="0"/>
      <w:marBottom w:val="0"/>
      <w:divBdr>
        <w:top w:val="none" w:sz="0" w:space="0" w:color="auto"/>
        <w:left w:val="none" w:sz="0" w:space="0" w:color="auto"/>
        <w:bottom w:val="none" w:sz="0" w:space="0" w:color="auto"/>
        <w:right w:val="none" w:sz="0" w:space="0" w:color="auto"/>
      </w:divBdr>
    </w:div>
    <w:div w:id="1581020613">
      <w:bodyDiv w:val="1"/>
      <w:marLeft w:val="0"/>
      <w:marRight w:val="0"/>
      <w:marTop w:val="0"/>
      <w:marBottom w:val="0"/>
      <w:divBdr>
        <w:top w:val="none" w:sz="0" w:space="0" w:color="auto"/>
        <w:left w:val="none" w:sz="0" w:space="0" w:color="auto"/>
        <w:bottom w:val="none" w:sz="0" w:space="0" w:color="auto"/>
        <w:right w:val="none" w:sz="0" w:space="0" w:color="auto"/>
      </w:divBdr>
    </w:div>
    <w:div w:id="1625040096">
      <w:bodyDiv w:val="1"/>
      <w:marLeft w:val="0"/>
      <w:marRight w:val="0"/>
      <w:marTop w:val="0"/>
      <w:marBottom w:val="0"/>
      <w:divBdr>
        <w:top w:val="none" w:sz="0" w:space="0" w:color="auto"/>
        <w:left w:val="none" w:sz="0" w:space="0" w:color="auto"/>
        <w:bottom w:val="none" w:sz="0" w:space="0" w:color="auto"/>
        <w:right w:val="none" w:sz="0" w:space="0" w:color="auto"/>
      </w:divBdr>
    </w:div>
    <w:div w:id="1627851971">
      <w:bodyDiv w:val="1"/>
      <w:marLeft w:val="0"/>
      <w:marRight w:val="0"/>
      <w:marTop w:val="0"/>
      <w:marBottom w:val="0"/>
      <w:divBdr>
        <w:top w:val="none" w:sz="0" w:space="0" w:color="auto"/>
        <w:left w:val="none" w:sz="0" w:space="0" w:color="auto"/>
        <w:bottom w:val="none" w:sz="0" w:space="0" w:color="auto"/>
        <w:right w:val="none" w:sz="0" w:space="0" w:color="auto"/>
      </w:divBdr>
    </w:div>
    <w:div w:id="1705671316">
      <w:bodyDiv w:val="1"/>
      <w:marLeft w:val="0"/>
      <w:marRight w:val="0"/>
      <w:marTop w:val="0"/>
      <w:marBottom w:val="0"/>
      <w:divBdr>
        <w:top w:val="none" w:sz="0" w:space="0" w:color="auto"/>
        <w:left w:val="none" w:sz="0" w:space="0" w:color="auto"/>
        <w:bottom w:val="none" w:sz="0" w:space="0" w:color="auto"/>
        <w:right w:val="none" w:sz="0" w:space="0" w:color="auto"/>
      </w:divBdr>
    </w:div>
    <w:div w:id="1710954315">
      <w:bodyDiv w:val="1"/>
      <w:marLeft w:val="0"/>
      <w:marRight w:val="0"/>
      <w:marTop w:val="0"/>
      <w:marBottom w:val="0"/>
      <w:divBdr>
        <w:top w:val="none" w:sz="0" w:space="0" w:color="auto"/>
        <w:left w:val="none" w:sz="0" w:space="0" w:color="auto"/>
        <w:bottom w:val="none" w:sz="0" w:space="0" w:color="auto"/>
        <w:right w:val="none" w:sz="0" w:space="0" w:color="auto"/>
      </w:divBdr>
    </w:div>
    <w:div w:id="1711758725">
      <w:bodyDiv w:val="1"/>
      <w:marLeft w:val="0"/>
      <w:marRight w:val="0"/>
      <w:marTop w:val="0"/>
      <w:marBottom w:val="0"/>
      <w:divBdr>
        <w:top w:val="none" w:sz="0" w:space="0" w:color="auto"/>
        <w:left w:val="none" w:sz="0" w:space="0" w:color="auto"/>
        <w:bottom w:val="none" w:sz="0" w:space="0" w:color="auto"/>
        <w:right w:val="none" w:sz="0" w:space="0" w:color="auto"/>
      </w:divBdr>
    </w:div>
    <w:div w:id="1772234891">
      <w:bodyDiv w:val="1"/>
      <w:marLeft w:val="0"/>
      <w:marRight w:val="0"/>
      <w:marTop w:val="0"/>
      <w:marBottom w:val="0"/>
      <w:divBdr>
        <w:top w:val="none" w:sz="0" w:space="0" w:color="auto"/>
        <w:left w:val="none" w:sz="0" w:space="0" w:color="auto"/>
        <w:bottom w:val="none" w:sz="0" w:space="0" w:color="auto"/>
        <w:right w:val="none" w:sz="0" w:space="0" w:color="auto"/>
      </w:divBdr>
    </w:div>
    <w:div w:id="1812823408">
      <w:bodyDiv w:val="1"/>
      <w:marLeft w:val="0"/>
      <w:marRight w:val="0"/>
      <w:marTop w:val="0"/>
      <w:marBottom w:val="0"/>
      <w:divBdr>
        <w:top w:val="none" w:sz="0" w:space="0" w:color="auto"/>
        <w:left w:val="none" w:sz="0" w:space="0" w:color="auto"/>
        <w:bottom w:val="none" w:sz="0" w:space="0" w:color="auto"/>
        <w:right w:val="none" w:sz="0" w:space="0" w:color="auto"/>
      </w:divBdr>
    </w:div>
    <w:div w:id="1832406734">
      <w:bodyDiv w:val="1"/>
      <w:marLeft w:val="0"/>
      <w:marRight w:val="0"/>
      <w:marTop w:val="0"/>
      <w:marBottom w:val="0"/>
      <w:divBdr>
        <w:top w:val="none" w:sz="0" w:space="0" w:color="auto"/>
        <w:left w:val="none" w:sz="0" w:space="0" w:color="auto"/>
        <w:bottom w:val="none" w:sz="0" w:space="0" w:color="auto"/>
        <w:right w:val="none" w:sz="0" w:space="0" w:color="auto"/>
      </w:divBdr>
    </w:div>
    <w:div w:id="1841580386">
      <w:bodyDiv w:val="1"/>
      <w:marLeft w:val="0"/>
      <w:marRight w:val="0"/>
      <w:marTop w:val="0"/>
      <w:marBottom w:val="0"/>
      <w:divBdr>
        <w:top w:val="none" w:sz="0" w:space="0" w:color="auto"/>
        <w:left w:val="none" w:sz="0" w:space="0" w:color="auto"/>
        <w:bottom w:val="none" w:sz="0" w:space="0" w:color="auto"/>
        <w:right w:val="none" w:sz="0" w:space="0" w:color="auto"/>
      </w:divBdr>
    </w:div>
    <w:div w:id="1852255440">
      <w:bodyDiv w:val="1"/>
      <w:marLeft w:val="0"/>
      <w:marRight w:val="0"/>
      <w:marTop w:val="0"/>
      <w:marBottom w:val="0"/>
      <w:divBdr>
        <w:top w:val="none" w:sz="0" w:space="0" w:color="auto"/>
        <w:left w:val="none" w:sz="0" w:space="0" w:color="auto"/>
        <w:bottom w:val="none" w:sz="0" w:space="0" w:color="auto"/>
        <w:right w:val="none" w:sz="0" w:space="0" w:color="auto"/>
      </w:divBdr>
    </w:div>
    <w:div w:id="1855538635">
      <w:bodyDiv w:val="1"/>
      <w:marLeft w:val="0"/>
      <w:marRight w:val="0"/>
      <w:marTop w:val="0"/>
      <w:marBottom w:val="0"/>
      <w:divBdr>
        <w:top w:val="none" w:sz="0" w:space="0" w:color="auto"/>
        <w:left w:val="none" w:sz="0" w:space="0" w:color="auto"/>
        <w:bottom w:val="none" w:sz="0" w:space="0" w:color="auto"/>
        <w:right w:val="none" w:sz="0" w:space="0" w:color="auto"/>
      </w:divBdr>
    </w:div>
    <w:div w:id="1898666835">
      <w:bodyDiv w:val="1"/>
      <w:marLeft w:val="0"/>
      <w:marRight w:val="0"/>
      <w:marTop w:val="0"/>
      <w:marBottom w:val="0"/>
      <w:divBdr>
        <w:top w:val="none" w:sz="0" w:space="0" w:color="auto"/>
        <w:left w:val="none" w:sz="0" w:space="0" w:color="auto"/>
        <w:bottom w:val="none" w:sz="0" w:space="0" w:color="auto"/>
        <w:right w:val="none" w:sz="0" w:space="0" w:color="auto"/>
      </w:divBdr>
    </w:div>
    <w:div w:id="1906180392">
      <w:bodyDiv w:val="1"/>
      <w:marLeft w:val="0"/>
      <w:marRight w:val="0"/>
      <w:marTop w:val="0"/>
      <w:marBottom w:val="0"/>
      <w:divBdr>
        <w:top w:val="none" w:sz="0" w:space="0" w:color="auto"/>
        <w:left w:val="none" w:sz="0" w:space="0" w:color="auto"/>
        <w:bottom w:val="none" w:sz="0" w:space="0" w:color="auto"/>
        <w:right w:val="none" w:sz="0" w:space="0" w:color="auto"/>
      </w:divBdr>
    </w:div>
    <w:div w:id="1935474934">
      <w:bodyDiv w:val="1"/>
      <w:marLeft w:val="0"/>
      <w:marRight w:val="0"/>
      <w:marTop w:val="0"/>
      <w:marBottom w:val="0"/>
      <w:divBdr>
        <w:top w:val="none" w:sz="0" w:space="0" w:color="auto"/>
        <w:left w:val="none" w:sz="0" w:space="0" w:color="auto"/>
        <w:bottom w:val="none" w:sz="0" w:space="0" w:color="auto"/>
        <w:right w:val="none" w:sz="0" w:space="0" w:color="auto"/>
      </w:divBdr>
    </w:div>
    <w:div w:id="1952664275">
      <w:bodyDiv w:val="1"/>
      <w:marLeft w:val="0"/>
      <w:marRight w:val="0"/>
      <w:marTop w:val="0"/>
      <w:marBottom w:val="0"/>
      <w:divBdr>
        <w:top w:val="none" w:sz="0" w:space="0" w:color="auto"/>
        <w:left w:val="none" w:sz="0" w:space="0" w:color="auto"/>
        <w:bottom w:val="none" w:sz="0" w:space="0" w:color="auto"/>
        <w:right w:val="none" w:sz="0" w:space="0" w:color="auto"/>
      </w:divBdr>
    </w:div>
    <w:div w:id="1954704053">
      <w:bodyDiv w:val="1"/>
      <w:marLeft w:val="0"/>
      <w:marRight w:val="0"/>
      <w:marTop w:val="0"/>
      <w:marBottom w:val="0"/>
      <w:divBdr>
        <w:top w:val="none" w:sz="0" w:space="0" w:color="auto"/>
        <w:left w:val="none" w:sz="0" w:space="0" w:color="auto"/>
        <w:bottom w:val="none" w:sz="0" w:space="0" w:color="auto"/>
        <w:right w:val="none" w:sz="0" w:space="0" w:color="auto"/>
      </w:divBdr>
    </w:div>
    <w:div w:id="1971813677">
      <w:bodyDiv w:val="1"/>
      <w:marLeft w:val="0"/>
      <w:marRight w:val="0"/>
      <w:marTop w:val="0"/>
      <w:marBottom w:val="0"/>
      <w:divBdr>
        <w:top w:val="none" w:sz="0" w:space="0" w:color="auto"/>
        <w:left w:val="none" w:sz="0" w:space="0" w:color="auto"/>
        <w:bottom w:val="none" w:sz="0" w:space="0" w:color="auto"/>
        <w:right w:val="none" w:sz="0" w:space="0" w:color="auto"/>
      </w:divBdr>
    </w:div>
    <w:div w:id="2020236487">
      <w:bodyDiv w:val="1"/>
      <w:marLeft w:val="0"/>
      <w:marRight w:val="0"/>
      <w:marTop w:val="0"/>
      <w:marBottom w:val="0"/>
      <w:divBdr>
        <w:top w:val="none" w:sz="0" w:space="0" w:color="auto"/>
        <w:left w:val="none" w:sz="0" w:space="0" w:color="auto"/>
        <w:bottom w:val="none" w:sz="0" w:space="0" w:color="auto"/>
        <w:right w:val="none" w:sz="0" w:space="0" w:color="auto"/>
      </w:divBdr>
    </w:div>
    <w:div w:id="2059551847">
      <w:bodyDiv w:val="1"/>
      <w:marLeft w:val="0"/>
      <w:marRight w:val="0"/>
      <w:marTop w:val="0"/>
      <w:marBottom w:val="0"/>
      <w:divBdr>
        <w:top w:val="none" w:sz="0" w:space="0" w:color="auto"/>
        <w:left w:val="none" w:sz="0" w:space="0" w:color="auto"/>
        <w:bottom w:val="none" w:sz="0" w:space="0" w:color="auto"/>
        <w:right w:val="none" w:sz="0" w:space="0" w:color="auto"/>
      </w:divBdr>
    </w:div>
    <w:div w:id="2062510048">
      <w:bodyDiv w:val="1"/>
      <w:marLeft w:val="0"/>
      <w:marRight w:val="0"/>
      <w:marTop w:val="0"/>
      <w:marBottom w:val="0"/>
      <w:divBdr>
        <w:top w:val="none" w:sz="0" w:space="0" w:color="auto"/>
        <w:left w:val="none" w:sz="0" w:space="0" w:color="auto"/>
        <w:bottom w:val="none" w:sz="0" w:space="0" w:color="auto"/>
        <w:right w:val="none" w:sz="0" w:space="0" w:color="auto"/>
      </w:divBdr>
    </w:div>
    <w:div w:id="2115247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68050/JAMS.2026.631"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hyperlink" Target="https://jamsjournal.org/JAMS"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Joã16</b:Tag>
    <b:SourceType>ArticleInAPeriodical</b:SourceType>
    <b:Guid>{CD4BA650-9F17-4E2F-BE16-837AB969C2B7}</b:Guid>
    <b:Title>Políticas públicas e agenda política</b:Title>
    <b:Year>2016</b:Year>
    <b:Author>
      <b:Author>
        <b:NameList>
          <b:Person>
            <b:Last>Bilhim</b:Last>
            <b:First>João</b:First>
            <b:Middle>Abreu</b:Middle>
          </b:Person>
        </b:NameList>
      </b:Author>
    </b:Author>
    <b:Month>Janeiro</b:Month>
    <b:RefOrder>1</b:RefOrder>
  </b:Source>
</b:Sources>
</file>

<file path=customXml/itemProps1.xml><?xml version="1.0" encoding="utf-8"?>
<ds:datastoreItem xmlns:ds="http://schemas.openxmlformats.org/officeDocument/2006/customXml" ds:itemID="{7701F749-17A9-4F5F-961D-8057A95E1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7448</Words>
  <Characters>42454</Characters>
  <Application>Microsoft Office Word</Application>
  <DocSecurity>0</DocSecurity>
  <Lines>353</Lines>
  <Paragraphs>99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Analysis of Efficient Home Office Management Strategies for Business Productivity: Practices and Challenges at BCX in Tete Province, Mozambique (2019-2024)</vt:lpstr>
      <vt:lpstr/>
    </vt:vector>
  </TitlesOfParts>
  <Company/>
  <LinksUpToDate>false</LinksUpToDate>
  <CharactersWithSpaces>49803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Efficient Home Office Management Strategies for Business Productivity: Practices and Challenges at BCX in Tete Province, Mozambique (2019-2024)</dc:title>
  <dc:subject>Managment</dc:subject>
  <dc:creator>Marteza Alfredo Catine</dc:creator>
  <cp:keywords>home office, efficient management, productivity, BCX Tete</cp:keywords>
  <cp:lastModifiedBy>dell</cp:lastModifiedBy>
  <cp:revision>23</cp:revision>
  <dcterms:created xsi:type="dcterms:W3CDTF">2026-09-30T11:27:00Z</dcterms:created>
  <dcterms:modified xsi:type="dcterms:W3CDTF">2026-09-30T13:05:00Z</dcterms:modified>
  <cp:category>Managment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1aa6c3e4-232e-468a-ac7d-88ef5134a9ee</vt:lpwstr>
  </property>
</Properties>
</file>