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224ED" w14:textId="77777777" w:rsidR="0080564B" w:rsidRPr="0080564B" w:rsidRDefault="0080564B" w:rsidP="0080564B">
      <w:pPr>
        <w:spacing w:after="240" w:line="240" w:lineRule="auto"/>
        <w:jc w:val="center"/>
        <w:rPr>
          <w:rFonts w:ascii="Times New Roman" w:hAnsi="Times New Roman"/>
          <w:b/>
          <w:sz w:val="36"/>
          <w:szCs w:val="24"/>
        </w:rPr>
      </w:pPr>
      <w:r>
        <w:rPr>
          <w:rFonts w:ascii="Times New Roman" w:hAnsi="Times New Roman"/>
          <w:b/>
          <w:sz w:val="36"/>
          <w:szCs w:val="24"/>
        </w:rPr>
        <w:t>Board Gender Diversity a</w:t>
      </w:r>
      <w:r w:rsidRPr="0080564B">
        <w:rPr>
          <w:rFonts w:ascii="Times New Roman" w:hAnsi="Times New Roman"/>
          <w:b/>
          <w:sz w:val="36"/>
          <w:szCs w:val="24"/>
        </w:rPr>
        <w:t xml:space="preserve">nd Profitability </w:t>
      </w:r>
      <w:r>
        <w:rPr>
          <w:rFonts w:ascii="Times New Roman" w:hAnsi="Times New Roman"/>
          <w:b/>
          <w:sz w:val="36"/>
          <w:szCs w:val="24"/>
        </w:rPr>
        <w:t>o</w:t>
      </w:r>
      <w:r w:rsidRPr="0080564B">
        <w:rPr>
          <w:rFonts w:ascii="Times New Roman" w:hAnsi="Times New Roman"/>
          <w:b/>
          <w:sz w:val="36"/>
          <w:szCs w:val="24"/>
        </w:rPr>
        <w:t xml:space="preserve">f Listed Deposit Money Banks </w:t>
      </w:r>
      <w:r>
        <w:rPr>
          <w:rFonts w:ascii="Times New Roman" w:hAnsi="Times New Roman"/>
          <w:b/>
          <w:sz w:val="36"/>
          <w:szCs w:val="24"/>
        </w:rPr>
        <w:t>i</w:t>
      </w:r>
      <w:r w:rsidRPr="0080564B">
        <w:rPr>
          <w:rFonts w:ascii="Times New Roman" w:hAnsi="Times New Roman"/>
          <w:b/>
          <w:sz w:val="36"/>
          <w:szCs w:val="24"/>
        </w:rPr>
        <w:t xml:space="preserve">n Nigeria, Moderated </w:t>
      </w:r>
      <w:r>
        <w:rPr>
          <w:rFonts w:ascii="Times New Roman" w:hAnsi="Times New Roman"/>
          <w:b/>
          <w:sz w:val="36"/>
          <w:szCs w:val="24"/>
        </w:rPr>
        <w:t>b</w:t>
      </w:r>
      <w:r w:rsidRPr="0080564B">
        <w:rPr>
          <w:rFonts w:ascii="Times New Roman" w:hAnsi="Times New Roman"/>
          <w:b/>
          <w:sz w:val="36"/>
          <w:szCs w:val="24"/>
        </w:rPr>
        <w:t>y Firm Age</w:t>
      </w:r>
    </w:p>
    <w:p w14:paraId="256F8C8A" w14:textId="181E0965" w:rsidR="0080564B" w:rsidRPr="0080564B" w:rsidRDefault="0080564B" w:rsidP="0080564B">
      <w:pPr>
        <w:spacing w:after="240" w:line="240" w:lineRule="auto"/>
        <w:jc w:val="center"/>
        <w:rPr>
          <w:rFonts w:ascii="Times New Roman" w:hAnsi="Times New Roman"/>
          <w:b/>
          <w:sz w:val="24"/>
          <w:szCs w:val="24"/>
        </w:rPr>
      </w:pPr>
      <w:r w:rsidRPr="0080564B">
        <w:rPr>
          <w:rFonts w:ascii="Times New Roman" w:hAnsi="Times New Roman"/>
          <w:b/>
          <w:sz w:val="24"/>
          <w:szCs w:val="24"/>
        </w:rPr>
        <w:t>Ademola Daniel</w:t>
      </w:r>
      <w:r>
        <w:rPr>
          <w:rFonts w:ascii="Times New Roman" w:hAnsi="Times New Roman"/>
          <w:b/>
          <w:sz w:val="24"/>
          <w:szCs w:val="24"/>
        </w:rPr>
        <w:t>,</w:t>
      </w:r>
      <w:r w:rsidRPr="0080564B">
        <w:rPr>
          <w:rFonts w:ascii="Times New Roman" w:hAnsi="Times New Roman"/>
          <w:b/>
          <w:sz w:val="24"/>
          <w:szCs w:val="24"/>
        </w:rPr>
        <w:t xml:space="preserve"> </w:t>
      </w:r>
      <w:r w:rsidR="00C94949">
        <w:rPr>
          <w:rFonts w:ascii="Times New Roman" w:hAnsi="Times New Roman"/>
          <w:b/>
          <w:sz w:val="24"/>
          <w:szCs w:val="24"/>
        </w:rPr>
        <w:t xml:space="preserve">Dr. </w:t>
      </w:r>
      <w:r w:rsidRPr="0080564B">
        <w:rPr>
          <w:rFonts w:ascii="Times New Roman" w:hAnsi="Times New Roman"/>
          <w:b/>
          <w:sz w:val="24"/>
          <w:szCs w:val="24"/>
        </w:rPr>
        <w:t>Joshua Gambo Samuel</w:t>
      </w:r>
      <w:r>
        <w:rPr>
          <w:rFonts w:ascii="Times New Roman" w:hAnsi="Times New Roman"/>
          <w:b/>
          <w:sz w:val="24"/>
          <w:szCs w:val="24"/>
        </w:rPr>
        <w:t>,</w:t>
      </w:r>
      <w:r w:rsidRPr="0080564B">
        <w:rPr>
          <w:rFonts w:ascii="Times New Roman" w:hAnsi="Times New Roman"/>
          <w:b/>
          <w:sz w:val="24"/>
          <w:szCs w:val="24"/>
        </w:rPr>
        <w:t xml:space="preserve"> </w:t>
      </w:r>
      <w:r w:rsidR="00C94949">
        <w:rPr>
          <w:rFonts w:ascii="Times New Roman" w:hAnsi="Times New Roman"/>
          <w:b/>
          <w:sz w:val="24"/>
          <w:szCs w:val="24"/>
        </w:rPr>
        <w:t xml:space="preserve">Dr. </w:t>
      </w:r>
      <w:proofErr w:type="spellStart"/>
      <w:r w:rsidRPr="0080564B">
        <w:rPr>
          <w:rFonts w:ascii="Times New Roman" w:hAnsi="Times New Roman"/>
          <w:b/>
          <w:sz w:val="24"/>
          <w:szCs w:val="24"/>
        </w:rPr>
        <w:t>Adzor</w:t>
      </w:r>
      <w:proofErr w:type="spellEnd"/>
      <w:r w:rsidRPr="0080564B">
        <w:rPr>
          <w:rFonts w:ascii="Times New Roman" w:hAnsi="Times New Roman"/>
          <w:b/>
          <w:sz w:val="24"/>
          <w:szCs w:val="24"/>
        </w:rPr>
        <w:t xml:space="preserve"> </w:t>
      </w:r>
      <w:proofErr w:type="spellStart"/>
      <w:r w:rsidRPr="0080564B">
        <w:rPr>
          <w:rFonts w:ascii="Times New Roman" w:hAnsi="Times New Roman"/>
          <w:b/>
          <w:sz w:val="24"/>
          <w:szCs w:val="24"/>
        </w:rPr>
        <w:t>Ibiamke</w:t>
      </w:r>
      <w:proofErr w:type="spellEnd"/>
    </w:p>
    <w:p w14:paraId="436F47F3" w14:textId="77777777" w:rsidR="0080564B" w:rsidRPr="0080564B" w:rsidRDefault="0080564B" w:rsidP="0080564B">
      <w:pPr>
        <w:spacing w:after="240" w:line="240" w:lineRule="auto"/>
        <w:jc w:val="center"/>
        <w:rPr>
          <w:rFonts w:ascii="Times New Roman" w:hAnsi="Times New Roman"/>
          <w:b/>
          <w:sz w:val="24"/>
          <w:szCs w:val="24"/>
        </w:rPr>
      </w:pPr>
      <w:r w:rsidRPr="0080564B">
        <w:rPr>
          <w:rFonts w:ascii="Times New Roman" w:hAnsi="Times New Roman"/>
          <w:b/>
          <w:sz w:val="24"/>
          <w:szCs w:val="24"/>
        </w:rPr>
        <w:t xml:space="preserve">Department of Accounting, Faculty of Management Sciences, Nigerian </w:t>
      </w:r>
      <w:proofErr w:type="spellStart"/>
      <w:r w:rsidRPr="0080564B">
        <w:rPr>
          <w:rFonts w:ascii="Times New Roman" w:hAnsi="Times New Roman"/>
          <w:b/>
          <w:sz w:val="24"/>
          <w:szCs w:val="24"/>
        </w:rPr>
        <w:t>Defence</w:t>
      </w:r>
      <w:proofErr w:type="spellEnd"/>
      <w:r w:rsidRPr="0080564B">
        <w:rPr>
          <w:rFonts w:ascii="Times New Roman" w:hAnsi="Times New Roman"/>
          <w:b/>
          <w:sz w:val="24"/>
          <w:szCs w:val="24"/>
        </w:rPr>
        <w:t xml:space="preserve"> Academy Kaduna</w:t>
      </w:r>
      <w:r>
        <w:rPr>
          <w:rFonts w:ascii="Times New Roman" w:hAnsi="Times New Roman"/>
          <w:b/>
          <w:sz w:val="24"/>
          <w:szCs w:val="24"/>
        </w:rPr>
        <w:t>,</w:t>
      </w:r>
      <w:r w:rsidRPr="0080564B">
        <w:t xml:space="preserve"> </w:t>
      </w:r>
      <w:r w:rsidRPr="0080564B">
        <w:rPr>
          <w:rFonts w:ascii="Times New Roman" w:hAnsi="Times New Roman"/>
          <w:b/>
          <w:sz w:val="24"/>
        </w:rPr>
        <w:t>Nigeria</w:t>
      </w:r>
    </w:p>
    <w:p w14:paraId="1F280980" w14:textId="40407BBE" w:rsidR="0080564B" w:rsidRPr="0080564B" w:rsidRDefault="0080564B" w:rsidP="0080564B">
      <w:pPr>
        <w:pStyle w:val="NoSpacing"/>
        <w:tabs>
          <w:tab w:val="center" w:pos="4988"/>
          <w:tab w:val="left" w:pos="10620"/>
        </w:tabs>
        <w:spacing w:after="240"/>
        <w:ind w:right="-17"/>
        <w:jc w:val="center"/>
        <w:rPr>
          <w:rFonts w:ascii="Times New Roman" w:hAnsi="Times New Roman" w:cs="Times New Roman"/>
          <w:b/>
          <w:color w:val="0070C0"/>
          <w:sz w:val="24"/>
          <w:szCs w:val="24"/>
          <w:u w:val="single"/>
        </w:rPr>
      </w:pPr>
      <w:r w:rsidRPr="0080564B">
        <w:rPr>
          <w:rFonts w:ascii="Times New Roman" w:hAnsi="Times New Roman" w:cs="Times New Roman"/>
          <w:b/>
          <w:bCs/>
          <w:sz w:val="24"/>
          <w:szCs w:val="24"/>
        </w:rPr>
        <w:t xml:space="preserve">DOI: </w:t>
      </w:r>
      <w:hyperlink r:id="rId8" w:history="1">
        <w:r w:rsidR="00C94949" w:rsidRPr="000F355F">
          <w:rPr>
            <w:rStyle w:val="Hyperlink"/>
            <w:rFonts w:ascii="Times New Roman" w:hAnsi="Times New Roman" w:cs="Times New Roman"/>
            <w:b/>
            <w:sz w:val="24"/>
            <w:szCs w:val="24"/>
          </w:rPr>
          <w:t>https://doi.org/10.68050/JAMS.2026.399</w:t>
        </w:r>
      </w:hyperlink>
    </w:p>
    <w:p w14:paraId="5E012D45" w14:textId="46E93779" w:rsidR="0080564B" w:rsidRPr="0080564B" w:rsidRDefault="0080564B" w:rsidP="0080564B">
      <w:pPr>
        <w:tabs>
          <w:tab w:val="left" w:pos="10620"/>
        </w:tabs>
        <w:spacing w:after="240" w:line="240" w:lineRule="auto"/>
        <w:ind w:right="-17" w:firstLine="386"/>
        <w:jc w:val="center"/>
        <w:rPr>
          <w:rFonts w:ascii="Times New Roman" w:hAnsi="Times New Roman"/>
          <w:b/>
          <w:sz w:val="24"/>
          <w:szCs w:val="24"/>
        </w:rPr>
      </w:pPr>
      <w:r w:rsidRPr="0080564B">
        <w:rPr>
          <w:rFonts w:ascii="Times New Roman" w:hAnsi="Times New Roman"/>
          <w:b/>
          <w:sz w:val="24"/>
          <w:szCs w:val="24"/>
          <w:lang w:eastAsia="en-IN"/>
        </w:rPr>
        <w:t xml:space="preserve">Received: </w:t>
      </w:r>
      <w:r w:rsidR="00502310">
        <w:rPr>
          <w:rFonts w:ascii="Times New Roman" w:hAnsi="Times New Roman"/>
          <w:b/>
          <w:sz w:val="24"/>
          <w:szCs w:val="24"/>
          <w:lang w:eastAsia="en-IN"/>
        </w:rPr>
        <w:t>06</w:t>
      </w:r>
      <w:r w:rsidRPr="0080564B">
        <w:rPr>
          <w:rFonts w:ascii="Times New Roman" w:hAnsi="Times New Roman"/>
          <w:b/>
          <w:sz w:val="24"/>
          <w:szCs w:val="24"/>
          <w:lang w:eastAsia="en-IN"/>
        </w:rPr>
        <w:t xml:space="preserve"> </w:t>
      </w:r>
      <w:r w:rsidR="00502310">
        <w:rPr>
          <w:rFonts w:ascii="Times New Roman" w:hAnsi="Times New Roman"/>
          <w:b/>
          <w:sz w:val="24"/>
          <w:szCs w:val="24"/>
          <w:lang w:eastAsia="en-IN"/>
        </w:rPr>
        <w:t>Sept</w:t>
      </w:r>
      <w:r w:rsidRPr="0080564B">
        <w:rPr>
          <w:rFonts w:ascii="Times New Roman" w:hAnsi="Times New Roman"/>
          <w:b/>
          <w:sz w:val="24"/>
          <w:szCs w:val="24"/>
          <w:lang w:eastAsia="en-IN"/>
        </w:rPr>
        <w:t xml:space="preserve"> 2026; Accepted: </w:t>
      </w:r>
      <w:r w:rsidR="00502310">
        <w:rPr>
          <w:rFonts w:ascii="Times New Roman" w:hAnsi="Times New Roman"/>
          <w:b/>
          <w:sz w:val="24"/>
          <w:szCs w:val="24"/>
          <w:lang w:eastAsia="en-IN"/>
        </w:rPr>
        <w:t>07</w:t>
      </w:r>
      <w:r w:rsidRPr="0080564B">
        <w:rPr>
          <w:rFonts w:ascii="Times New Roman" w:hAnsi="Times New Roman"/>
          <w:b/>
          <w:sz w:val="24"/>
          <w:szCs w:val="24"/>
          <w:lang w:eastAsia="en-IN"/>
        </w:rPr>
        <w:t xml:space="preserve"> </w:t>
      </w:r>
      <w:r w:rsidR="00502310">
        <w:rPr>
          <w:rFonts w:ascii="Times New Roman" w:hAnsi="Times New Roman"/>
          <w:b/>
          <w:sz w:val="24"/>
          <w:szCs w:val="24"/>
          <w:lang w:eastAsia="en-IN"/>
        </w:rPr>
        <w:t>Sept</w:t>
      </w:r>
      <w:r w:rsidRPr="0080564B">
        <w:rPr>
          <w:rFonts w:ascii="Times New Roman" w:hAnsi="Times New Roman"/>
          <w:b/>
          <w:sz w:val="24"/>
          <w:szCs w:val="24"/>
          <w:lang w:eastAsia="en-IN"/>
        </w:rPr>
        <w:t xml:space="preserve"> 2026; Published: </w:t>
      </w:r>
      <w:r w:rsidR="00502310">
        <w:rPr>
          <w:rFonts w:ascii="Times New Roman" w:hAnsi="Times New Roman"/>
          <w:b/>
          <w:sz w:val="24"/>
          <w:szCs w:val="24"/>
          <w:lang w:eastAsia="en-IN"/>
        </w:rPr>
        <w:t>21</w:t>
      </w:r>
      <w:r w:rsidRPr="0080564B">
        <w:rPr>
          <w:rFonts w:ascii="Times New Roman" w:hAnsi="Times New Roman"/>
          <w:b/>
          <w:sz w:val="24"/>
          <w:szCs w:val="24"/>
          <w:lang w:eastAsia="en-IN"/>
        </w:rPr>
        <w:t xml:space="preserve"> </w:t>
      </w:r>
      <w:r w:rsidR="00502310">
        <w:rPr>
          <w:rFonts w:ascii="Times New Roman" w:hAnsi="Times New Roman"/>
          <w:b/>
          <w:sz w:val="24"/>
          <w:szCs w:val="24"/>
          <w:lang w:eastAsia="en-IN"/>
        </w:rPr>
        <w:t>September</w:t>
      </w:r>
      <w:r w:rsidRPr="0080564B">
        <w:rPr>
          <w:rFonts w:ascii="Times New Roman" w:hAnsi="Times New Roman"/>
          <w:b/>
          <w:sz w:val="24"/>
          <w:szCs w:val="24"/>
          <w:lang w:eastAsia="en-IN"/>
        </w:rPr>
        <w:t xml:space="preserve"> 2026</w:t>
      </w:r>
    </w:p>
    <w:p w14:paraId="6E328BA0"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b/>
          <w:sz w:val="28"/>
          <w:szCs w:val="24"/>
        </w:rPr>
        <w:t>ABSTRACT</w:t>
      </w:r>
    </w:p>
    <w:p w14:paraId="242377F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This study examined the moderating effect of firm age on the relationship between board gender diversity and profitability of listed deposit money banks in Nigeria. The study adopted an ex-post facto research design and relied on secondary data sourced from the audited annual reports of the sampled banks. The population of the study comprised 15 listed deposit money banks as of December 31, 2024, from which 14 were selected using a filtering technique. The study collected panel data covering 10 years and employed descriptive statistics, and panel-corrected regression analysis technique to analyze the data. Findings revealed that female directors significantly and positively affected profitability, while female CEOs had a negative but significant effect on profitability. Firm age, though not independently significant, positively moderated the relationship between female CEOs and profitability, while negatively moderating the relationship between female directors and profitability that is, the profitability benefit of having a female CEO grew stronger in older banks, whereas the profitability benefit of having more female directors weakened in older banks. The study concluded that gender diversity within boards improves profitability, but the direction and strength of that effect depends on firm age. The study recommends that banks increase female representation on boards and develop leadership support structures that periodically review governance cultures to sustain inclusivity and profitability.</w:t>
      </w:r>
    </w:p>
    <w:p w14:paraId="7FBE9F9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b/>
          <w:sz w:val="24"/>
          <w:szCs w:val="24"/>
        </w:rPr>
        <w:t>Keywords:</w:t>
      </w:r>
      <w:r w:rsidRPr="0080564B">
        <w:rPr>
          <w:rFonts w:ascii="Times New Roman" w:hAnsi="Times New Roman"/>
          <w:sz w:val="24"/>
          <w:szCs w:val="24"/>
        </w:rPr>
        <w:t xml:space="preserve"> board diversity, gender, profitability, firm age, Nigeria</w:t>
      </w:r>
    </w:p>
    <w:p w14:paraId="4EFD41A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b/>
          <w:sz w:val="28"/>
          <w:szCs w:val="24"/>
        </w:rPr>
        <w:t>INTRODUCTION</w:t>
      </w:r>
    </w:p>
    <w:p w14:paraId="64CD007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Profitability in the Nigerian banking sector matters greatly because of its implications for financial stability and credit supply. Yet several listed deposit money banks continue to struggle with declining or volatile profitability. Union Bank of Nigeria reported a sharp drop in profit before tax from ₦20.5 billion in 2021 to ₦14.9 billion in 2022, placing significant strain on its operations. Unity Bank recorded a loss after tax of ₦7.1 billion in 2022, compared with ₦4.4 billion in 2021, making it one of the weakest performers in the sector (Unity, 2022). Wema Bank, despite being one of the oldest banking institutions in Nigeria, posted a decline in profit after tax from ₦9.3 billion in 2021 to ₦8.1 billion in 2022 (Unity, 2022). More broadly, in Q1 2025 the combined after-tax profit of nine major banks rose by only 0.74% year-on-year a steep drop from earlier growth rates with GTCO and First Holdco recording profit declines of 45% and 22%, respectively, in that quarter alone. This occurs against a backdrop in which the Central Bank of Nigeria reports broadly sound financial-soundness indicators, even as supervisory interventions such as higher minimum capital thresholds and a higher cash reserve requirement have reduced banks' interest-earning assets and compressed net interest income.</w:t>
      </w:r>
    </w:p>
    <w:p w14:paraId="279853D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The poor and inconsistent profit margins of Nigerian DMBs point to recurring structural issues in the sector. Because poor profitability limits the ability of banks to make a meaningful contribution to Nigeria's national economic growth, identifying these structural issues is imperative. One strategy that has attracted growing regulatory attention is board gender diversity. The Code of Corporate Governance for Banks and Financial Holding Companies issued by the CBN emphasizes gender diversity and inclusion as part of board composition requirements: no bank board should consist of only one gender, and banks must adopt pragmatic </w:t>
      </w:r>
      <w:r w:rsidRPr="0080564B">
        <w:rPr>
          <w:rFonts w:ascii="Times New Roman" w:hAnsi="Times New Roman"/>
          <w:sz w:val="24"/>
          <w:szCs w:val="24"/>
        </w:rPr>
        <w:lastRenderedPageBreak/>
        <w:t>approaches toward women's empowerment on their boards, in line with Principle 4 of the Nigerian Sustainable Banking Principles.</w:t>
      </w:r>
    </w:p>
    <w:p w14:paraId="19D51AD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Board gender diversity refers to the representation and mix of men and women on the board of directors. The empirical evidence on whether this translates into higher profitability is, however, mixed. Some studies find positive associations between female representation and profitability, attributing the effect to more rigorous monitoring and greater risk awareness (Kouassi &amp; Traore, 2022). Other studies find no effect or a negative association, which they attribute to tokenism, differences in role assignment, or confounding by firm size and industry. This divergence in findings is consistent with Kanter's (1977) theory of tokenism and with Upper Echelons theory (Hambrick &amp; Mason, 1984), both of which are elaborated in the theoretical review (Section 2.3): tokenism suggests that a numerically small minority of women on a board may be unable to exert real influence, while upper echelons theory suggests that the strategic impact of gender depends on whether women occupy positions of substantive power rather than merely symbolic ones.</w:t>
      </w:r>
    </w:p>
    <w:p w14:paraId="1F72E194"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A female CEO illustrates this distinction well, because the position combines the symbolic presence of gender diversity with substantive control over strategy and operations. Upper Echelons theory implies that CEO gender may shape tolerance for risk, strategic priorities, and investment choices, and that these differences may show up in bank returns and risk profiles (Koua, 2023). A study by Ahmad (2025) documents findings in which the presence of female chief executives coincided with changes in loan growth, provisioning, and profitability, while other studies, testing the Lehman Sisters hypothesis, find limited systematic differences once firm size and capital buffers are controlled. Because CEOs shape both risk appetite and organizational culture, the net effect of female leadership on profitability may depend on how much genuine strategic control the CEO holds rather than on gender alone. These mixed findings suggest that the profitability effect of a female CEO is conditional on contextual factors such as firm size, capital strength, and institutional maturity - a possibility this study investigates through firm age.</w:t>
      </w:r>
    </w:p>
    <w:p w14:paraId="1544A4D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Female directors, unlike CEOs, more often occupy non-executive seats, yet they bring stakeholder legitimacy to the board and can improve a firm's access to funding and market opportunities. A higher proportion of female directors on a board can also strengthen board oversight, as women are often observed to be meticulous in monitoring operational policies (Mensah &amp; Boateng, 2023). For instance, the leadership of Nneka </w:t>
      </w:r>
      <w:proofErr w:type="spellStart"/>
      <w:r w:rsidRPr="0080564B">
        <w:rPr>
          <w:rFonts w:ascii="Times New Roman" w:hAnsi="Times New Roman"/>
          <w:sz w:val="24"/>
          <w:szCs w:val="24"/>
        </w:rPr>
        <w:t>Onyeali</w:t>
      </w:r>
      <w:proofErr w:type="spellEnd"/>
      <w:r w:rsidRPr="0080564B">
        <w:rPr>
          <w:rFonts w:ascii="Times New Roman" w:hAnsi="Times New Roman"/>
          <w:sz w:val="24"/>
          <w:szCs w:val="24"/>
        </w:rPr>
        <w:t>-Ikpe as CEO of Fidelity Bank since 2021 has coincided with a steady rise in profitability, with the bank reporting ₦62 billion in profit after tax in 2022 - a 113% increase from the previous year (Bank, 2022). A similar pattern is observed at Zenith Bank: profit before tax rose from ₦284.7 billion in 2022 to ₦796 billion in 2023, and further to ₦1.3 trillion in 2024, coinciding with Adaora Umeoji's tenure as CEO, suggesting that her leadership, among other factors, is associated with improved outcomes.</w:t>
      </w:r>
    </w:p>
    <w:p w14:paraId="057476D2"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These examples suggest that board gender diversity may offer a strategic advantage for reversing declining profits, but whether that advantage holds depends on institutional context. The age of a firm adds to its organizational maturity and experience (Osei &amp; Adomako, 2024), and older firms tend to benefit from learning effects and accumulated reputation (Mensah &amp; Boateng, 2023). As firms grow older, they are exposed to more operational risk and often develop stronger risk-mitigation strategies, which can amplify the profitability effects of governance practices such as gender diversity. At the same time, older firms may also develop greater bureaucratic rigidity, which can dilute the effectiveness of board diversity. Previous studies show that firm age may therefore strengthen or weaken the link between governance and profitability (Osei &amp; Adomako, 2024). For example, Wema Bank and Union Bank report in their annual reports that they continue to struggle with bureaucratic inertia and legacy inefficiencies despite their long existence in the market (Okafor &amp; Egbe, 2021), while much younger banks appear more adaptive and responsive to board diversity interventions. If firm age strengthens or weakens the governance–profitability link in this way, then any policy or regulatory push for gender diversity must account for how old the bank is.</w:t>
      </w:r>
    </w:p>
    <w:p w14:paraId="5FFEF7E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Despite the CBN's regulatory push for gender-balanced bank boards and a growing body of evidence linking board gender diversity to profitability, existing Nigerian studies present conflicting findings and have largely examined board gender diversity as a single, broad construct.  Nwosu and Amah (2019) found no significant effect of female directors on bank performance; </w:t>
      </w:r>
      <w:proofErr w:type="spellStart"/>
      <w:r w:rsidRPr="0080564B">
        <w:rPr>
          <w:rFonts w:ascii="Times New Roman" w:hAnsi="Times New Roman"/>
          <w:sz w:val="24"/>
          <w:szCs w:val="24"/>
        </w:rPr>
        <w:t>Osinfowokan</w:t>
      </w:r>
      <w:proofErr w:type="spellEnd"/>
      <w:r w:rsidRPr="0080564B">
        <w:rPr>
          <w:rFonts w:ascii="Times New Roman" w:hAnsi="Times New Roman"/>
          <w:sz w:val="24"/>
          <w:szCs w:val="24"/>
        </w:rPr>
        <w:t xml:space="preserve"> et al. (2022) found a significant positive effect </w:t>
      </w:r>
      <w:r w:rsidRPr="0080564B">
        <w:rPr>
          <w:rFonts w:ascii="Times New Roman" w:hAnsi="Times New Roman"/>
          <w:sz w:val="24"/>
          <w:szCs w:val="24"/>
        </w:rPr>
        <w:lastRenderedPageBreak/>
        <w:t xml:space="preserve">of CEO gender but did not test any moderating variable; and </w:t>
      </w:r>
      <w:proofErr w:type="spellStart"/>
      <w:r w:rsidRPr="0080564B">
        <w:rPr>
          <w:rFonts w:ascii="Times New Roman" w:hAnsi="Times New Roman"/>
          <w:sz w:val="24"/>
          <w:szCs w:val="24"/>
        </w:rPr>
        <w:t>Olowolafe</w:t>
      </w:r>
      <w:proofErr w:type="spellEnd"/>
      <w:r w:rsidRPr="0080564B">
        <w:rPr>
          <w:rFonts w:ascii="Times New Roman" w:hAnsi="Times New Roman"/>
          <w:sz w:val="24"/>
          <w:szCs w:val="24"/>
        </w:rPr>
        <w:t xml:space="preserve"> and Adegbite (2023) found a significant positive effect of female directors but likewise tested no moderator. None of these studies have jointly examined female CEOs and female directors as distinct gender-diversity proxies while also testing whether firm age a proxy for institutional maturity moderates their effect on profitability. Given that older and younger banks differ in governance structures, risk exposure, and organizational rigidity, it remains unclear whether the profitability benefits (or costs) associated with female leadership hold uniformly across banks of different ages, or whether they are conditional on institutional maturity. It is this gap that motivates the present study.</w:t>
      </w:r>
    </w:p>
    <w:p w14:paraId="537A54A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Accordingly, this study examines the moderating effect of firm age on the relationship between board gender diversity and the profitability of listed deposit money banks in Nigeria. The specific objectives are to: (</w:t>
      </w:r>
      <w:proofErr w:type="spellStart"/>
      <w:r w:rsidRPr="0080564B">
        <w:rPr>
          <w:rFonts w:ascii="Times New Roman" w:hAnsi="Times New Roman"/>
          <w:sz w:val="24"/>
          <w:szCs w:val="24"/>
        </w:rPr>
        <w:t>i</w:t>
      </w:r>
      <w:proofErr w:type="spellEnd"/>
      <w:r w:rsidRPr="0080564B">
        <w:rPr>
          <w:rFonts w:ascii="Times New Roman" w:hAnsi="Times New Roman"/>
          <w:sz w:val="24"/>
          <w:szCs w:val="24"/>
        </w:rPr>
        <w:t>) examine the effect of female Chief Executive Officers on the profitability of listed deposit money banks in Nigeria; (ii) examine the effect of female directors on the profitability of listed deposit money banks in Nigeria; (iii) examine the effect of firm age on the profitability of listed deposit money banks in Nigeria; (iv) determine the moderating effect of firm age on the relationship between female Chief Executive Officers and the profitability of listed deposit money banks in Nigeria; and (v) determine the moderating effect of firm age on the relationship between female directors and the profitability of listed deposit money banks in Nigeria. Hence, the following hypotheses are tested:</w:t>
      </w:r>
    </w:p>
    <w:p w14:paraId="170E79C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H01: Female Chief Executive Officers have no significant effect on profitability of listed deposit money banks in Nigeria.</w:t>
      </w:r>
    </w:p>
    <w:p w14:paraId="2162FC2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H02: Female directors have no significant effect on profitability of listed deposit money banks in Nigeria.</w:t>
      </w:r>
    </w:p>
    <w:p w14:paraId="6D70E9E4"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H03: Firm age has no significant effect on the profitability of listed deposit money banks in Nigeria.</w:t>
      </w:r>
    </w:p>
    <w:p w14:paraId="1FC9BBB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H04: Firm age does not significantly moderate the effect of female Chief Executive Officers on the profitability of listed deposit money banks in Nigeria.</w:t>
      </w:r>
    </w:p>
    <w:p w14:paraId="193397A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H05: Firm age does not significantly moderate the effect of female directors on the profitability of listed deposit money banks in Nigeria.</w:t>
      </w:r>
    </w:p>
    <w:p w14:paraId="6B4CB2C8"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To address these hypotheses, the study adopts an ex-post facto design and relies on secondary panel data from the audited annual reports of 14 of the 15 deposit money banks listed on the Nigerian Exchange as at December 31, 2024, covering a 10-year period (2015–2024) chosen to capture major regulatory reforms in corporate governance and advocacy for gender inclusion. The financial sector was selected because of its systemic importance in Nigeria, and because banks have reliable disclosures and play a significant role in financial intermediation that stabilizes the economy. Our analysis shows that female directors significantly and positively affect profitability, while female CEOs exert a negative but significant effect; firm age, though not independently significant, positively moderates the female CEO–profitability relationship and negatively moderates the female director–profitability relationship that is, the profitability benefit of a female CEO grows stronger in older banks, whereas the benefit of more female directors weakens in older banks.</w:t>
      </w:r>
    </w:p>
    <w:p w14:paraId="7873A4C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This study contributes to theory, empirical evidence, and practice. Theoretically, it advances the tokenism and upper echelons frameworks by demonstrating that the influence of gender diversity is conditional on organizational maturity, thereby reconciling conflicting findings in prior Nigerian research. Empirically, it fills a regional gap by providing original evidence from Nigeria, jointly testing female CEOs and female directors as distinct proxies within a moderator design, and presenting a replicable model for future studies. Practically, the findings will benefit practitioners and regulators such as the CBN and the Financial Reporting Council of Nigeria by informing policies that evaluate whether gender diversity affects profitability in a manner contingent on firm age. The study's limitations, discussed in Section 5, constitute avenues for future research.</w:t>
      </w:r>
    </w:p>
    <w:p w14:paraId="0786604F"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remainder of the paper is organized as follows. Section 2 reviews the conceptual, theoretical, and empirical literature and develops the conceptual framework; Section 3 describes the methodology, including the model specification and diagnostics; Section 4 presents and di</w:t>
      </w:r>
    </w:p>
    <w:p w14:paraId="492978B6" w14:textId="77777777" w:rsidR="0080564B" w:rsidRPr="0080564B" w:rsidRDefault="0080564B" w:rsidP="0080564B">
      <w:pPr>
        <w:spacing w:after="240" w:line="240" w:lineRule="auto"/>
        <w:jc w:val="both"/>
        <w:rPr>
          <w:rFonts w:ascii="Times New Roman" w:hAnsi="Times New Roman"/>
          <w:b/>
          <w:sz w:val="28"/>
          <w:szCs w:val="24"/>
        </w:rPr>
      </w:pPr>
      <w:r w:rsidRPr="0080564B">
        <w:rPr>
          <w:rFonts w:ascii="Times New Roman" w:hAnsi="Times New Roman"/>
          <w:b/>
          <w:sz w:val="28"/>
          <w:szCs w:val="24"/>
        </w:rPr>
        <w:lastRenderedPageBreak/>
        <w:t>LITERATURE REVIEW</w:t>
      </w:r>
    </w:p>
    <w:p w14:paraId="5708B8E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This section reviews the literature on profitability and board gender diversity under three major headings: conceptual review, theoretical review, and empirical review. More specifically, the literature review examines the relationship between the dependent variable and the functional variables of the study, including the independent, moderating, and control variables, within the conceptual framework. As shown in Figure 1, profitability is the dependent variable and represents the primary outcome of interest for which providers of funds invest their money. In turn, profitability is expected to be influenced by the independent variable, which is measured through the presence of a female Chief Executive Officer and the proportion of female directors on the board. In addition, the framework introduces firm age as a moderating variable because it may influence the relationship between board gender diversity and profitability, particularly since the banks in the sample differ in age.</w:t>
      </w:r>
    </w:p>
    <w:p w14:paraId="04AB6200"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Accordingly, the effect of board gender diversity on profitability may depend on how long a bank has been in existence. On the one hand, older banks may benefit from established structures and accumulated reputational capital, which could strengthen the effect of gender diversity. On the other hand, they may be characterized by bureaucratic rigidity, which could weaken this effect. Finally, firm size is included as a control variable because larger banks may possess greater resources, market share, and operational stability, all of which may independently influence profitability.</w:t>
      </w:r>
    </w:p>
    <w:p w14:paraId="3DDB3DD1" w14:textId="77777777" w:rsidR="0080564B" w:rsidRPr="0080564B" w:rsidRDefault="0080564B" w:rsidP="0080564B">
      <w:pPr>
        <w:spacing w:after="240" w:line="240" w:lineRule="auto"/>
        <w:jc w:val="both"/>
        <w:rPr>
          <w:rFonts w:ascii="Times New Roman" w:hAnsi="Times New Roman"/>
          <w:sz w:val="24"/>
          <w:szCs w:val="24"/>
        </w:rPr>
      </w:pPr>
      <w:r>
        <w:rPr>
          <w:rFonts w:ascii="Times New Roman" w:hAnsi="Times New Roman"/>
          <w:noProof/>
          <w:sz w:val="24"/>
          <w:szCs w:val="24"/>
        </w:rPr>
        <w:drawing>
          <wp:inline distT="0" distB="0" distL="0" distR="0" wp14:anchorId="421E9820" wp14:editId="2ABED78C">
            <wp:extent cx="6716063" cy="2476846"/>
            <wp:effectExtent l="19050" t="0" r="8587" b="0"/>
            <wp:docPr id="2" name="Picture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9" cstate="print"/>
                    <a:stretch>
                      <a:fillRect/>
                    </a:stretch>
                  </pic:blipFill>
                  <pic:spPr>
                    <a:xfrm>
                      <a:off x="0" y="0"/>
                      <a:ext cx="6716063" cy="2476846"/>
                    </a:xfrm>
                    <a:prstGeom prst="rect">
                      <a:avLst/>
                    </a:prstGeom>
                  </pic:spPr>
                </pic:pic>
              </a:graphicData>
            </a:graphic>
          </wp:inline>
        </w:drawing>
      </w:r>
      <w:r w:rsidRPr="0080564B">
        <w:rPr>
          <w:rFonts w:ascii="Times New Roman" w:hAnsi="Times New Roman"/>
          <w:sz w:val="24"/>
          <w:szCs w:val="24"/>
        </w:rPr>
        <w:t>Figure 1: Conceptual Framework</w:t>
      </w:r>
    </w:p>
    <w:p w14:paraId="1EDF4E0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Field work, 2026</w:t>
      </w:r>
    </w:p>
    <w:p w14:paraId="77C1008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Return on Equity is used as a proxy for profitability and is measured as profit after tax divided by shareholders’ equity (D. Arin et al., 2024; K. Arin et al., 2024). Specifically, ROE indicates how effectively a bank uses investors’ funds to generate profit and how well shareholders’ investments are rewarded (Omondi &amp; Muturi, 2019). Previous studies have also employed ROE as an indicator of profitability and found that board gender diversity and board size significantly influence ROE among commercial banks (Ahmed et al., 2019). Accordingly, this study defines profitability as a bank’s ability to generate returns for its shareholders relative to the equity invested, operationalized through Return on Equity.</w:t>
      </w:r>
    </w:p>
    <w:p w14:paraId="423D949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Adams and Ferreira, 2009) define gender diversity as the presence of female representation on a company’s board. However, this definition does not fully capture the substantive influence of diversity, since mere presence may be symbolic and may not necessarily translate into decision-making power. For example, the presence of one female director on a board of 15 members may have little influence on board decisions. Such token representation may therefore exaggerate the apparent effect of diversity in empirical analyses. Consequently, the “presence or absence” definition is less suitable for this study because it cannot distinguish between boards where women occupy only token seats and those where they exercise genuine influence over organizational decisions.</w:t>
      </w:r>
    </w:p>
    <w:p w14:paraId="4F7AD14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lastRenderedPageBreak/>
        <w:t>A more comprehensive approach is offered by (Terjesen et al., 2015), who define board gender diversity as the proportion of female directors relative to the total number of board members. This definition emphasizes the percentage of women on a board as a more meaningful measure than simple presence and allows comparisons across firms with different board sizes. Nevertheless, it still treats female directors as a homogeneous group and does not account for the strategic positions they may occupy. For instance, if a bank has three women on a 10-member board, the board may appear highly diverse. However, if all three women hold non-executive positions, their presence may remain largely symbolic, with limited influence over audit or risk committees and, consequently, profitability.</w:t>
      </w:r>
    </w:p>
    <w:p w14:paraId="35BA8760"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In contrast, Joecks et al., (2012) define board gender diversity as the representation of women across governance positions, including the chairperson of the board, Chief Executive Officer, board director, and committee member. They argue that the effect of gender diversity depends not only on the number of women represented but also on whether women occupy strategic positions capable of influencing the direction of the company. This perspective recognizes that female CEOs, female chairpersons, and female directors may each exert significant influence on strategic decisions and is consistent with the Nigerian Code of Corporate Governance, which emphasizes meaningful inclusion rather than token representation. Therefore, this study adopts the definition of (Joecks et al., 2012) because it reflects the pathways through which board gender diversity may meaningfully influence bank profitability. Conceptually, board gender diversity is defined here as the extent to which women occupy positions of genuine strategic influence within a bank’s governance structure. In this study, it is captured through the presence of a female CEO and the proportion of female directors, rather than through mere numerical representation.</w:t>
      </w:r>
    </w:p>
    <w:p w14:paraId="4FE842C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Similarly, Adams and Funk (2011) define a female Chief Executive Officer as a woman who occupies the highest executive position in an organization and is responsible for strategic decision-making and operational management. This study adopts this definition because it aligns with the framework of board gender diversity proposed by Joecks et al. (2012). The appointment of a female CEO represents more than symbolic inclusion because the CEO leads the organization and is responsible for its strategic direction and profitability. As the most powerful actor in shaping the pathways through which a firm achieves profitability and growth, the CEO plays a central role in organizational outcomes (Hambrick &amp; Mason, 1984).</w:t>
      </w:r>
    </w:p>
    <w:p w14:paraId="1C5651B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Furthermore, female CEOs may influence profitability through their leadership styles and strategic orientations. Empirical evidence suggests that women in executive roles tend to adopt collaborative and participatory leadership approaches, which can promote team cohesion and improve decision quality. Such leadership may also strengthen alignment between management and board objectives by reducing conflict and facilitating strategy implementation. For example, under the leadership of Nneka </w:t>
      </w:r>
      <w:proofErr w:type="spellStart"/>
      <w:r w:rsidRPr="0080564B">
        <w:rPr>
          <w:rFonts w:ascii="Times New Roman" w:hAnsi="Times New Roman"/>
          <w:sz w:val="24"/>
          <w:szCs w:val="24"/>
        </w:rPr>
        <w:t>Onyeali</w:t>
      </w:r>
      <w:proofErr w:type="spellEnd"/>
      <w:r w:rsidRPr="0080564B">
        <w:rPr>
          <w:rFonts w:ascii="Times New Roman" w:hAnsi="Times New Roman"/>
          <w:sz w:val="24"/>
          <w:szCs w:val="24"/>
        </w:rPr>
        <w:t>-Ikpe, Fidelity Bank achieved a 113% increase in profit after tax in 2022 (Bank, 2022). This outcome illustrates the capacity of a female CEO to contribute to substantial profitability. Accordingly, this study defines a female CEO as a bank’s highest-ranking executive officer who is a woman and possesses substantive authority over the bank’s strategic and operational direction.</w:t>
      </w:r>
    </w:p>
    <w:p w14:paraId="3688A9C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In addition to the CEO, a female director is a woman who serves as a member of a company’s board, whether in an executive or non-executive capacity. By virtue of their positions, female directors can influence monitoring, resource provision, and the quality of board decision-making. Their contribution therefore extends beyond representation, as they may shape boardroom dynamics and organizational performance, particularly in highly regulated sectors such as banking.</w:t>
      </w:r>
    </w:p>
    <w:p w14:paraId="33E5ECC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More specifically, female directors are often associated with stronger monitoring of management, which can improve financial discipline and profitability. Adams and Ferreira (2009) observe that women directors tend to attend more board meetings and participate more actively in oversight functions. In Nigeria, Ogbeide et al. (2021) report that banks with greater female board participation achieved improved returns on assets, largely because of tighter monitoring of credit policies and operational spending. This enhanced oversight may reduce the incidence of non-performing loans, which are a recurring constraint on profitability in Nigerian banks. Similarly, Post and Byron find that female directors have a significant and positive effect on profitability, arguing that the inclusion of women in executive positions can reduce groupthink and thereby improve </w:t>
      </w:r>
      <w:r w:rsidRPr="0080564B">
        <w:rPr>
          <w:rFonts w:ascii="Times New Roman" w:hAnsi="Times New Roman"/>
          <w:sz w:val="24"/>
          <w:szCs w:val="24"/>
        </w:rPr>
        <w:lastRenderedPageBreak/>
        <w:t xml:space="preserve">strategic decision-making. In the same vein, </w:t>
      </w:r>
      <w:proofErr w:type="spellStart"/>
      <w:r w:rsidRPr="0080564B">
        <w:rPr>
          <w:rFonts w:ascii="Times New Roman" w:hAnsi="Times New Roman"/>
          <w:sz w:val="24"/>
          <w:szCs w:val="24"/>
        </w:rPr>
        <w:t>Olowolafe</w:t>
      </w:r>
      <w:proofErr w:type="spellEnd"/>
      <w:r w:rsidRPr="0080564B">
        <w:rPr>
          <w:rFonts w:ascii="Times New Roman" w:hAnsi="Times New Roman"/>
          <w:sz w:val="24"/>
          <w:szCs w:val="24"/>
        </w:rPr>
        <w:t xml:space="preserve"> and Adegbite (2023) find that female representation significantly affects revenue growth and has a significant positive effect on profit, suggesting that female directors may introduce strategies that enable banks to pursue broader profit opportunities. Therefore, this study defines a female director as the proportion of board seats held by women, thereby capturing the intensity, rather than merely the presence, of female representation on the board.</w:t>
      </w:r>
    </w:p>
    <w:p w14:paraId="16B9F5C0"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Firm age, meanwhile, refers to the number of years a company has operated since its incorporation or establishment and serves as a proxy for organizational maturity and experience. Generally, older firms are considered more likely to possess established market reputations, stronger stakeholder trust, and more refined internal processes. Younger firms, by contrast, may be more agile but face greater risks of failure because of limited resources and untested business models. In this study, firm age is measured as the number of years since incorporation, consistent with its use as a moderating variable in studies of firm performance and corporate governance.</w:t>
      </w:r>
    </w:p>
    <w:p w14:paraId="77157D98"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Finally, firm size denotes the scale or magnitude of a company’s operations and resources. It is typically measured using total assets, market capitalization, sales revenue, or the number of employees. Larger firms tend to have more diversified operations, stronger bargaining power, and better access to financing, whereas smaller firms may be more flexible but constrained by limited capital and market presence (Beck et al., 2005). In empirical research, firm size is often log-transformed to reduce skewness and is used as a determinant or control variable in explaining financial performance, risk exposure, and corporate governance practices (Dang et al., 2017). Accordingly, this study defines firm size as the natural logarithm of a bank’s total assets and includes it as a control variable to account for scale-related differences in profitability across the sampled banks.</w:t>
      </w:r>
    </w:p>
    <w:p w14:paraId="0E802EED" w14:textId="77777777" w:rsidR="0080564B" w:rsidRPr="0080564B" w:rsidRDefault="0080564B" w:rsidP="0080564B">
      <w:pPr>
        <w:spacing w:after="240" w:line="240" w:lineRule="auto"/>
        <w:jc w:val="both"/>
        <w:rPr>
          <w:rFonts w:ascii="Times New Roman" w:hAnsi="Times New Roman"/>
          <w:b/>
          <w:sz w:val="24"/>
          <w:szCs w:val="24"/>
        </w:rPr>
      </w:pPr>
      <w:r w:rsidRPr="0080564B">
        <w:rPr>
          <w:rFonts w:ascii="Times New Roman" w:hAnsi="Times New Roman"/>
          <w:b/>
          <w:sz w:val="24"/>
          <w:szCs w:val="24"/>
        </w:rPr>
        <w:t>Theoretical Review</w:t>
      </w:r>
    </w:p>
    <w:p w14:paraId="6694F39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According to Eisenhardt, this divergence arises from information asymmetry and differences in risk aversion between owners and managers. To address these issues, agency theory proposes governance mechanisms such as board diversity, which is intended to mitigate moral hazard and align the interests of owners and managers. The theory assumes that individuals are self-interested and risk-averse (Daily et al., 2003): principals invest to maximize firm value, whereas agents may prioritize personal benefits (Okafor &amp; Egbe, 2021). Because managers generally possess privileged information about a firm’s operations, an imbalance typically arises in the form of information asymmetry (Fama &amp; Jensen, 1983). This imbalance may allow managers to engage in opportunistic </w:t>
      </w:r>
      <w:proofErr w:type="spellStart"/>
      <w:r w:rsidRPr="0080564B">
        <w:rPr>
          <w:rFonts w:ascii="Times New Roman" w:hAnsi="Times New Roman"/>
          <w:sz w:val="24"/>
          <w:szCs w:val="24"/>
        </w:rPr>
        <w:t>behaviours</w:t>
      </w:r>
      <w:proofErr w:type="spellEnd"/>
      <w:r w:rsidRPr="0080564B">
        <w:rPr>
          <w:rFonts w:ascii="Times New Roman" w:hAnsi="Times New Roman"/>
          <w:sz w:val="24"/>
          <w:szCs w:val="24"/>
        </w:rPr>
        <w:t xml:space="preserve"> that are not in the best interests of owners. Agency theory therefore reinforces the expected effect of board gender diversity on profitability by highlighting the role that female executives and directors can play in maximizing shareholder wealth (</w:t>
      </w:r>
      <w:proofErr w:type="spellStart"/>
      <w:r w:rsidRPr="0080564B">
        <w:rPr>
          <w:rFonts w:ascii="Times New Roman" w:hAnsi="Times New Roman"/>
          <w:sz w:val="24"/>
          <w:szCs w:val="24"/>
        </w:rPr>
        <w:t>Olowolafe</w:t>
      </w:r>
      <w:proofErr w:type="spellEnd"/>
      <w:r w:rsidRPr="0080564B">
        <w:rPr>
          <w:rFonts w:ascii="Times New Roman" w:hAnsi="Times New Roman"/>
          <w:sz w:val="24"/>
          <w:szCs w:val="24"/>
        </w:rPr>
        <w:t xml:space="preserve"> &amp; Adegbite, 2023). For instance, (Adams &amp; Ferreira, 2009) note that female directors are more diligent than their male counterparts in attending meetings and paying attention to details.</w:t>
      </w:r>
    </w:p>
    <w:p w14:paraId="7B50E7B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Agency theory alone, however, does not fully explain why the effect of gender diversity on profitability is often inconsistent across studies. This study therefore also draws on Kanter’s theory of tokenism and Upper Echelons theory (Hambrick &amp; Mason, 1984) to provide a more comprehensive theoretical foundation.</w:t>
      </w:r>
    </w:p>
    <w:p w14:paraId="69D6B38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Kanter’s theory of tokenism holds that when women constitute a very small minority on a board, they are treated as “tokens” rather than as full members with equal standing. Tokenism suggests that such members face heightened visibility, are frequently stereotyped, and experience pressure to conform to the norms of the dominant group. These conditions may constrain their ability to influence board decisions, regardless of their individual competence. Consistent with this view, a board with only one or two female directors may show little measurable effect of gender diversity on profitability, not because women are less capable, but because their numbers are too small to constitute a meaningful “voice” on the board. Kanter’s theory therefore predicts that the profitability effect of female directors should strengthen once their proportion exceeds a token minority. This proposition is consistent with the present study’s use of the proportion of female directors, rather than their mere presence, as a gender-diversity proxy.</w:t>
      </w:r>
    </w:p>
    <w:p w14:paraId="6CB2C7C4"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lastRenderedPageBreak/>
        <w:t>Upper Echelons theory by Hambrick and Mason (1984) argues that organizational outcomes, including profitability, are partial reflections of the values, cognitive bases, and characteristics of top executives because executives act on the basis of their interpretations of the strategic situations they face. Applied to gender, the theory suggests that a female CEO’s personal characteristics, including risk tolerance, strategic orientation, and leadership style, will be reflected in the strategic choices and, ultimately, the financial performance of the bank she leads. Upper Echelons theory therefore provides a theoretical basis for expecting female CEOs, who possess substantive rather than merely symbolic power, to have a more direct and identifiable effect on profitability than female non-executive directors. It also supports this study’s decision to examine female CEOs and female directors as two distinct gender-diversity proxies rather than as a single, undifferentiated construct.</w:t>
      </w:r>
    </w:p>
    <w:p w14:paraId="21A6961A" w14:textId="77777777" w:rsidR="0080564B" w:rsidRPr="0080564B" w:rsidRDefault="0080564B" w:rsidP="0080564B">
      <w:pPr>
        <w:spacing w:after="240" w:line="240" w:lineRule="auto"/>
        <w:jc w:val="both"/>
        <w:rPr>
          <w:rFonts w:ascii="Times New Roman" w:hAnsi="Times New Roman"/>
          <w:b/>
          <w:sz w:val="24"/>
          <w:szCs w:val="24"/>
        </w:rPr>
      </w:pPr>
      <w:r w:rsidRPr="0080564B">
        <w:rPr>
          <w:rFonts w:ascii="Times New Roman" w:hAnsi="Times New Roman"/>
          <w:b/>
          <w:sz w:val="24"/>
          <w:szCs w:val="24"/>
        </w:rPr>
        <w:t>Review of Empirical Studies</w:t>
      </w:r>
    </w:p>
    <w:p w14:paraId="0ED92C81"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Osinfowokan</w:t>
      </w:r>
      <w:proofErr w:type="spellEnd"/>
      <w:r w:rsidRPr="0080564B">
        <w:rPr>
          <w:rFonts w:ascii="Times New Roman" w:hAnsi="Times New Roman"/>
          <w:sz w:val="24"/>
          <w:szCs w:val="24"/>
        </w:rPr>
        <w:t xml:space="preserve"> et al. (2022) investigate the effect of CEO characteristics on the financial performance of 15 listed Nigerian deposit money banks from 2014 to 2020. Using data from audited financial statements and multiple regression analysis, the study finds that CEO gender has a positive and significant effect on bank profitability. However, it does not include moderating variables or examine gender diversity beyond the CEO role. The present study extends this research by covering the period up to 2024 and examining multiple gender-diversity measures, including female CEOs and female directors.</w:t>
      </w:r>
    </w:p>
    <w:p w14:paraId="3C8D0829"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Mohammed et al. (2022) examine the effect of CEO attributes on financial distress among 14 Nigerian deposit money banks from 2007 to 2021. Using logistic regression and a modified Altman Z-score, the study finds that female CEOs have a negative and significant effect on financial distress. It also reports that risk committee gender diversity negatively and significantly moderates the relationship between CEO gender and financial distress. However, the study focuses on financial distress rather than profitability. The present study addresses this distinction by examining profitability and incorporating firm age as a moderating variable alongside multiple gender-diversity measures.</w:t>
      </w:r>
    </w:p>
    <w:p w14:paraId="097EE8AF"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Olowolafe</w:t>
      </w:r>
      <w:proofErr w:type="spellEnd"/>
      <w:r w:rsidRPr="0080564B">
        <w:rPr>
          <w:rFonts w:ascii="Times New Roman" w:hAnsi="Times New Roman"/>
          <w:sz w:val="24"/>
          <w:szCs w:val="24"/>
        </w:rPr>
        <w:t xml:space="preserve"> and Adegbite (2023) examine the effect of corporate governance on the profitability of Nigerian deposit money banks using panel data from 2010 to 2020. The results show that female directors have a positive and significant effect on financial performance. However, the study does not examine moderating variables and focuses only on board-level gender diversity. The present study extends this work by using specific gender-diversity measures and testing firm age as a moderator.</w:t>
      </w:r>
    </w:p>
    <w:p w14:paraId="64B1489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Bassey et al. (2025) examine the effect of female CEO characteristics on the financial performance of listed banks using descriptive statistics, ordinary least squares, and dynamic panel estimators to address potential endogeneity. The findings indicate that periods of female CEO tenure are associated with significant increases in profitability, although the results are sensitive to controls for bank size and liquidity. However, the study is a working paper and its sample period includes years both before and after the relevant appointments. The present study extends this research by examining firm age as a moderating variable and using two distinct gender-diversity measures rather than focusing only on CEO characteristics.</w:t>
      </w:r>
    </w:p>
    <w:p w14:paraId="003B43A5"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Ehikioya</w:t>
      </w:r>
      <w:proofErr w:type="spellEnd"/>
      <w:r w:rsidRPr="0080564B">
        <w:rPr>
          <w:rFonts w:ascii="Times New Roman" w:hAnsi="Times New Roman"/>
          <w:sz w:val="24"/>
          <w:szCs w:val="24"/>
        </w:rPr>
        <w:t xml:space="preserve"> et al. (2025) examine the effect of female representation on the performance of firms listed on the Nigerian Exchange from 2013 to 2022. Using fixed-effects estimation and two-stage least squares for robustness, the study finds that female board representation positively affects firm performance. This effect is stronger when female directors have relevant board experience and formal qualifications. However, the study does not test firm age as a moderator, and its sample includes firms from several sectors rather than focusing specifically on deposit money banks. The present study addresses these limitations by focusing on listed deposit money banks and directly testing firm age as a moderating variable.</w:t>
      </w:r>
    </w:p>
    <w:p w14:paraId="7C9EC28A"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Hordofa</w:t>
      </w:r>
      <w:proofErr w:type="spellEnd"/>
      <w:r w:rsidRPr="0080564B">
        <w:rPr>
          <w:rFonts w:ascii="Times New Roman" w:hAnsi="Times New Roman"/>
          <w:sz w:val="24"/>
          <w:szCs w:val="24"/>
        </w:rPr>
        <w:t xml:space="preserve"> and </w:t>
      </w:r>
      <w:proofErr w:type="spellStart"/>
      <w:r w:rsidRPr="0080564B">
        <w:rPr>
          <w:rFonts w:ascii="Times New Roman" w:hAnsi="Times New Roman"/>
          <w:sz w:val="24"/>
          <w:szCs w:val="24"/>
        </w:rPr>
        <w:t>Ionașcu</w:t>
      </w:r>
      <w:proofErr w:type="spellEnd"/>
      <w:r w:rsidRPr="0080564B">
        <w:rPr>
          <w:rFonts w:ascii="Times New Roman" w:hAnsi="Times New Roman"/>
          <w:sz w:val="24"/>
          <w:szCs w:val="24"/>
        </w:rPr>
        <w:t xml:space="preserve"> (2025) examine the effects of board gender diversity and board size on the profitability of commercial banks in Ethiopia. Using data from 17 banks between 2010 and 2021, the study applies fixed-effects, panel-corrected standard error, and GMM estimators. The findings show that board gender diversity has no significant direct effect on profitability but becomes significant and negative when interacted with board size. This result suggests that the effect of gender diversity depends on other governance and structural </w:t>
      </w:r>
      <w:r w:rsidRPr="0080564B">
        <w:rPr>
          <w:rFonts w:ascii="Times New Roman" w:hAnsi="Times New Roman"/>
          <w:sz w:val="24"/>
          <w:szCs w:val="24"/>
        </w:rPr>
        <w:lastRenderedPageBreak/>
        <w:t>factors. It supports the present study’s approach of examining board gender diversity alongside a moderating institutional variable (firm age) rather than considering its effect in isolation.</w:t>
      </w:r>
    </w:p>
    <w:p w14:paraId="719A31C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b/>
          <w:sz w:val="28"/>
          <w:szCs w:val="24"/>
        </w:rPr>
        <w:t>METHODOLOGY</w:t>
      </w:r>
    </w:p>
    <w:p w14:paraId="43747B1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This study employed an ex-post facto research design to examine the effects of the independent variables on the dependent variable. The study population comprised 15 deposit money banks listed on the Nigerian Exchange as of 31 December 2024. A filtering technique was used to select a sample of 14 banks, as shown in Table 1. Taj Bank was excluded from the sample because it did not have the 10-year data span required for the study.</w:t>
      </w:r>
    </w:p>
    <w:p w14:paraId="66A29BB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1</w:t>
      </w:r>
    </w:p>
    <w:p w14:paraId="073D639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Population of the Study</w:t>
      </w: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455"/>
        <w:gridCol w:w="1980"/>
        <w:gridCol w:w="2070"/>
      </w:tblGrid>
      <w:tr w:rsidR="0080564B" w:rsidRPr="0080564B" w14:paraId="718BEB59" w14:textId="77777777" w:rsidTr="0080564B">
        <w:trPr>
          <w:trHeight w:val="330"/>
        </w:trPr>
        <w:tc>
          <w:tcPr>
            <w:tcW w:w="960" w:type="dxa"/>
            <w:noWrap/>
            <w:hideMark/>
          </w:tcPr>
          <w:p w14:paraId="5922B86D"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S/No.</w:t>
            </w:r>
          </w:p>
        </w:tc>
        <w:tc>
          <w:tcPr>
            <w:tcW w:w="4455" w:type="dxa"/>
            <w:noWrap/>
            <w:hideMark/>
          </w:tcPr>
          <w:p w14:paraId="240A1141"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Bank</w:t>
            </w:r>
          </w:p>
        </w:tc>
        <w:tc>
          <w:tcPr>
            <w:tcW w:w="1980" w:type="dxa"/>
            <w:noWrap/>
            <w:hideMark/>
          </w:tcPr>
          <w:p w14:paraId="3144B46B"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Year of Listing</w:t>
            </w:r>
          </w:p>
        </w:tc>
        <w:tc>
          <w:tcPr>
            <w:tcW w:w="2070" w:type="dxa"/>
            <w:noWrap/>
            <w:hideMark/>
          </w:tcPr>
          <w:p w14:paraId="33CA437D"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Selected Sample</w:t>
            </w:r>
          </w:p>
        </w:tc>
      </w:tr>
      <w:tr w:rsidR="0080564B" w:rsidRPr="0080564B" w14:paraId="32B229DC" w14:textId="77777777" w:rsidTr="0080564B">
        <w:trPr>
          <w:trHeight w:val="345"/>
        </w:trPr>
        <w:tc>
          <w:tcPr>
            <w:tcW w:w="960" w:type="dxa"/>
            <w:noWrap/>
            <w:hideMark/>
          </w:tcPr>
          <w:p w14:paraId="1FD0A67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c>
          <w:tcPr>
            <w:tcW w:w="4455" w:type="dxa"/>
            <w:noWrap/>
            <w:hideMark/>
          </w:tcPr>
          <w:p w14:paraId="228F549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Access Bank Plc</w:t>
            </w:r>
          </w:p>
        </w:tc>
        <w:tc>
          <w:tcPr>
            <w:tcW w:w="1980" w:type="dxa"/>
            <w:noWrap/>
            <w:hideMark/>
          </w:tcPr>
          <w:p w14:paraId="6FACD62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1998</w:t>
            </w:r>
          </w:p>
        </w:tc>
        <w:tc>
          <w:tcPr>
            <w:tcW w:w="2070" w:type="dxa"/>
            <w:noWrap/>
            <w:hideMark/>
          </w:tcPr>
          <w:p w14:paraId="54A0AA4D"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57463D68" w14:textId="77777777" w:rsidTr="0080564B">
        <w:trPr>
          <w:trHeight w:val="345"/>
        </w:trPr>
        <w:tc>
          <w:tcPr>
            <w:tcW w:w="960" w:type="dxa"/>
            <w:noWrap/>
            <w:hideMark/>
          </w:tcPr>
          <w:p w14:paraId="77FCA73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w:t>
            </w:r>
          </w:p>
        </w:tc>
        <w:tc>
          <w:tcPr>
            <w:tcW w:w="4455" w:type="dxa"/>
            <w:noWrap/>
            <w:hideMark/>
          </w:tcPr>
          <w:p w14:paraId="32A9234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Ecobank Nigeria Plc</w:t>
            </w:r>
          </w:p>
        </w:tc>
        <w:tc>
          <w:tcPr>
            <w:tcW w:w="1980" w:type="dxa"/>
            <w:noWrap/>
            <w:hideMark/>
          </w:tcPr>
          <w:p w14:paraId="1DBB63B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2006</w:t>
            </w:r>
          </w:p>
        </w:tc>
        <w:tc>
          <w:tcPr>
            <w:tcW w:w="2070" w:type="dxa"/>
            <w:noWrap/>
            <w:hideMark/>
          </w:tcPr>
          <w:p w14:paraId="38EC2B4F"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74FDB067" w14:textId="77777777" w:rsidTr="0080564B">
        <w:trPr>
          <w:trHeight w:val="345"/>
        </w:trPr>
        <w:tc>
          <w:tcPr>
            <w:tcW w:w="960" w:type="dxa"/>
            <w:noWrap/>
            <w:hideMark/>
          </w:tcPr>
          <w:p w14:paraId="3CAE921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3</w:t>
            </w:r>
          </w:p>
        </w:tc>
        <w:tc>
          <w:tcPr>
            <w:tcW w:w="4455" w:type="dxa"/>
            <w:noWrap/>
            <w:hideMark/>
          </w:tcPr>
          <w:p w14:paraId="1027C8B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Fidelity Bank Plc</w:t>
            </w:r>
          </w:p>
        </w:tc>
        <w:tc>
          <w:tcPr>
            <w:tcW w:w="1980" w:type="dxa"/>
            <w:noWrap/>
            <w:hideMark/>
          </w:tcPr>
          <w:p w14:paraId="614AC83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2005</w:t>
            </w:r>
          </w:p>
        </w:tc>
        <w:tc>
          <w:tcPr>
            <w:tcW w:w="2070" w:type="dxa"/>
            <w:noWrap/>
            <w:hideMark/>
          </w:tcPr>
          <w:p w14:paraId="0CF02D12"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3AAC153B" w14:textId="77777777" w:rsidTr="0080564B">
        <w:trPr>
          <w:trHeight w:val="345"/>
        </w:trPr>
        <w:tc>
          <w:tcPr>
            <w:tcW w:w="960" w:type="dxa"/>
            <w:noWrap/>
            <w:hideMark/>
          </w:tcPr>
          <w:p w14:paraId="4365475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4</w:t>
            </w:r>
          </w:p>
        </w:tc>
        <w:tc>
          <w:tcPr>
            <w:tcW w:w="4455" w:type="dxa"/>
            <w:noWrap/>
            <w:hideMark/>
          </w:tcPr>
          <w:p w14:paraId="1F6ED26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First Bank Holding</w:t>
            </w:r>
          </w:p>
        </w:tc>
        <w:tc>
          <w:tcPr>
            <w:tcW w:w="1980" w:type="dxa"/>
            <w:noWrap/>
            <w:hideMark/>
          </w:tcPr>
          <w:p w14:paraId="798ADF0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1969</w:t>
            </w:r>
          </w:p>
        </w:tc>
        <w:tc>
          <w:tcPr>
            <w:tcW w:w="2070" w:type="dxa"/>
            <w:noWrap/>
            <w:hideMark/>
          </w:tcPr>
          <w:p w14:paraId="5F9A39E6"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6E5715D1" w14:textId="77777777" w:rsidTr="0080564B">
        <w:trPr>
          <w:trHeight w:val="345"/>
        </w:trPr>
        <w:tc>
          <w:tcPr>
            <w:tcW w:w="960" w:type="dxa"/>
            <w:noWrap/>
            <w:hideMark/>
          </w:tcPr>
          <w:p w14:paraId="76B748C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5</w:t>
            </w:r>
          </w:p>
        </w:tc>
        <w:tc>
          <w:tcPr>
            <w:tcW w:w="4455" w:type="dxa"/>
            <w:noWrap/>
            <w:hideMark/>
          </w:tcPr>
          <w:p w14:paraId="706F098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First City Monument Bank Plc (FCMB)</w:t>
            </w:r>
          </w:p>
        </w:tc>
        <w:tc>
          <w:tcPr>
            <w:tcW w:w="1980" w:type="dxa"/>
            <w:noWrap/>
            <w:hideMark/>
          </w:tcPr>
          <w:p w14:paraId="6ECD4BC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2004</w:t>
            </w:r>
          </w:p>
        </w:tc>
        <w:tc>
          <w:tcPr>
            <w:tcW w:w="2070" w:type="dxa"/>
            <w:noWrap/>
            <w:hideMark/>
          </w:tcPr>
          <w:p w14:paraId="54E19D29"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1D15F0DF" w14:textId="77777777" w:rsidTr="0080564B">
        <w:trPr>
          <w:trHeight w:val="345"/>
        </w:trPr>
        <w:tc>
          <w:tcPr>
            <w:tcW w:w="960" w:type="dxa"/>
            <w:noWrap/>
            <w:hideMark/>
          </w:tcPr>
          <w:p w14:paraId="1DECF0A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6</w:t>
            </w:r>
          </w:p>
        </w:tc>
        <w:tc>
          <w:tcPr>
            <w:tcW w:w="4455" w:type="dxa"/>
            <w:noWrap/>
            <w:hideMark/>
          </w:tcPr>
          <w:p w14:paraId="25D92F1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Guaranty Trust Holding Coy PLC</w:t>
            </w:r>
          </w:p>
        </w:tc>
        <w:tc>
          <w:tcPr>
            <w:tcW w:w="1980" w:type="dxa"/>
            <w:noWrap/>
            <w:hideMark/>
          </w:tcPr>
          <w:p w14:paraId="17EFE82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1996</w:t>
            </w:r>
          </w:p>
        </w:tc>
        <w:tc>
          <w:tcPr>
            <w:tcW w:w="2070" w:type="dxa"/>
            <w:noWrap/>
            <w:hideMark/>
          </w:tcPr>
          <w:p w14:paraId="69A94055"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0D4BC75A" w14:textId="77777777" w:rsidTr="0080564B">
        <w:trPr>
          <w:trHeight w:val="345"/>
        </w:trPr>
        <w:tc>
          <w:tcPr>
            <w:tcW w:w="960" w:type="dxa"/>
            <w:noWrap/>
            <w:hideMark/>
          </w:tcPr>
          <w:p w14:paraId="6DC6556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7</w:t>
            </w:r>
          </w:p>
        </w:tc>
        <w:tc>
          <w:tcPr>
            <w:tcW w:w="4455" w:type="dxa"/>
            <w:noWrap/>
            <w:hideMark/>
          </w:tcPr>
          <w:p w14:paraId="6CC6572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Taj Bank</w:t>
            </w:r>
          </w:p>
        </w:tc>
        <w:tc>
          <w:tcPr>
            <w:tcW w:w="1980" w:type="dxa"/>
            <w:noWrap/>
            <w:hideMark/>
          </w:tcPr>
          <w:p w14:paraId="100B841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2019</w:t>
            </w:r>
          </w:p>
        </w:tc>
        <w:tc>
          <w:tcPr>
            <w:tcW w:w="2070" w:type="dxa"/>
            <w:noWrap/>
            <w:hideMark/>
          </w:tcPr>
          <w:p w14:paraId="24D7FE84"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r w:rsidRPr="0080564B">
              <w:rPr>
                <w:rFonts w:ascii="Times New Roman" w:eastAsia="Times New Roman" w:hAnsi="Times New Roman"/>
                <w:color w:val="000000"/>
                <w:sz w:val="24"/>
                <w:szCs w:val="24"/>
              </w:rPr>
              <w:t xml:space="preserve"> Dropped</w:t>
            </w:r>
          </w:p>
        </w:tc>
      </w:tr>
      <w:tr w:rsidR="0080564B" w:rsidRPr="0080564B" w14:paraId="0CDD7574" w14:textId="77777777" w:rsidTr="0080564B">
        <w:trPr>
          <w:trHeight w:val="345"/>
        </w:trPr>
        <w:tc>
          <w:tcPr>
            <w:tcW w:w="960" w:type="dxa"/>
            <w:noWrap/>
            <w:hideMark/>
          </w:tcPr>
          <w:p w14:paraId="2F2B806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8</w:t>
            </w:r>
          </w:p>
        </w:tc>
        <w:tc>
          <w:tcPr>
            <w:tcW w:w="4455" w:type="dxa"/>
            <w:noWrap/>
            <w:hideMark/>
          </w:tcPr>
          <w:p w14:paraId="32EA4F9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Stanbic IBTC Bank Plc</w:t>
            </w:r>
          </w:p>
        </w:tc>
        <w:tc>
          <w:tcPr>
            <w:tcW w:w="1980" w:type="dxa"/>
            <w:noWrap/>
            <w:hideMark/>
          </w:tcPr>
          <w:p w14:paraId="61FCB2C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2005</w:t>
            </w:r>
          </w:p>
        </w:tc>
        <w:tc>
          <w:tcPr>
            <w:tcW w:w="2070" w:type="dxa"/>
            <w:noWrap/>
            <w:hideMark/>
          </w:tcPr>
          <w:p w14:paraId="3662F1A7"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4D798270" w14:textId="77777777" w:rsidTr="0080564B">
        <w:trPr>
          <w:trHeight w:val="345"/>
        </w:trPr>
        <w:tc>
          <w:tcPr>
            <w:tcW w:w="960" w:type="dxa"/>
            <w:noWrap/>
            <w:hideMark/>
          </w:tcPr>
          <w:p w14:paraId="26EF983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9</w:t>
            </w:r>
          </w:p>
        </w:tc>
        <w:tc>
          <w:tcPr>
            <w:tcW w:w="4455" w:type="dxa"/>
            <w:noWrap/>
            <w:hideMark/>
          </w:tcPr>
          <w:p w14:paraId="50AE5A5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Sterling Bank Plc</w:t>
            </w:r>
          </w:p>
        </w:tc>
        <w:tc>
          <w:tcPr>
            <w:tcW w:w="1980" w:type="dxa"/>
            <w:noWrap/>
            <w:hideMark/>
          </w:tcPr>
          <w:p w14:paraId="4BCD24A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1983</w:t>
            </w:r>
          </w:p>
        </w:tc>
        <w:tc>
          <w:tcPr>
            <w:tcW w:w="2070" w:type="dxa"/>
            <w:noWrap/>
            <w:hideMark/>
          </w:tcPr>
          <w:p w14:paraId="180330F2"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00DA75D0" w14:textId="77777777" w:rsidTr="0080564B">
        <w:trPr>
          <w:trHeight w:val="345"/>
        </w:trPr>
        <w:tc>
          <w:tcPr>
            <w:tcW w:w="960" w:type="dxa"/>
            <w:noWrap/>
            <w:hideMark/>
          </w:tcPr>
          <w:p w14:paraId="498DEA5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w:t>
            </w:r>
          </w:p>
        </w:tc>
        <w:tc>
          <w:tcPr>
            <w:tcW w:w="4455" w:type="dxa"/>
            <w:noWrap/>
            <w:hideMark/>
          </w:tcPr>
          <w:p w14:paraId="6462E0E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Union Bank of Nigeria Plc</w:t>
            </w:r>
          </w:p>
        </w:tc>
        <w:tc>
          <w:tcPr>
            <w:tcW w:w="1980" w:type="dxa"/>
            <w:noWrap/>
            <w:hideMark/>
          </w:tcPr>
          <w:p w14:paraId="405B79C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1970</w:t>
            </w:r>
          </w:p>
        </w:tc>
        <w:tc>
          <w:tcPr>
            <w:tcW w:w="2070" w:type="dxa"/>
            <w:noWrap/>
            <w:hideMark/>
          </w:tcPr>
          <w:p w14:paraId="105AA78D"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6F706B57" w14:textId="77777777" w:rsidTr="0080564B">
        <w:trPr>
          <w:trHeight w:val="345"/>
        </w:trPr>
        <w:tc>
          <w:tcPr>
            <w:tcW w:w="960" w:type="dxa"/>
            <w:noWrap/>
            <w:hideMark/>
          </w:tcPr>
          <w:p w14:paraId="57E658C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11</w:t>
            </w:r>
          </w:p>
        </w:tc>
        <w:tc>
          <w:tcPr>
            <w:tcW w:w="4455" w:type="dxa"/>
            <w:noWrap/>
            <w:hideMark/>
          </w:tcPr>
          <w:p w14:paraId="3AE85DD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United Bank for Africa Plc (UBA)</w:t>
            </w:r>
          </w:p>
        </w:tc>
        <w:tc>
          <w:tcPr>
            <w:tcW w:w="1980" w:type="dxa"/>
            <w:noWrap/>
            <w:hideMark/>
          </w:tcPr>
          <w:p w14:paraId="7F6542C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1970</w:t>
            </w:r>
          </w:p>
        </w:tc>
        <w:tc>
          <w:tcPr>
            <w:tcW w:w="2070" w:type="dxa"/>
            <w:noWrap/>
            <w:hideMark/>
          </w:tcPr>
          <w:p w14:paraId="6AC05457"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113DA916" w14:textId="77777777" w:rsidTr="0080564B">
        <w:trPr>
          <w:trHeight w:val="345"/>
        </w:trPr>
        <w:tc>
          <w:tcPr>
            <w:tcW w:w="960" w:type="dxa"/>
            <w:noWrap/>
            <w:hideMark/>
          </w:tcPr>
          <w:p w14:paraId="46D2CB5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12</w:t>
            </w:r>
          </w:p>
        </w:tc>
        <w:tc>
          <w:tcPr>
            <w:tcW w:w="4455" w:type="dxa"/>
            <w:noWrap/>
            <w:hideMark/>
          </w:tcPr>
          <w:p w14:paraId="1FD071D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Unity Bank Plc</w:t>
            </w:r>
          </w:p>
        </w:tc>
        <w:tc>
          <w:tcPr>
            <w:tcW w:w="1980" w:type="dxa"/>
            <w:noWrap/>
            <w:hideMark/>
          </w:tcPr>
          <w:p w14:paraId="1AAC5B1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2005</w:t>
            </w:r>
          </w:p>
        </w:tc>
        <w:tc>
          <w:tcPr>
            <w:tcW w:w="2070" w:type="dxa"/>
            <w:noWrap/>
            <w:hideMark/>
          </w:tcPr>
          <w:p w14:paraId="613033BC"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54C9AE61" w14:textId="77777777" w:rsidTr="0080564B">
        <w:trPr>
          <w:trHeight w:val="345"/>
        </w:trPr>
        <w:tc>
          <w:tcPr>
            <w:tcW w:w="960" w:type="dxa"/>
            <w:noWrap/>
            <w:hideMark/>
          </w:tcPr>
          <w:p w14:paraId="058C792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13</w:t>
            </w:r>
          </w:p>
        </w:tc>
        <w:tc>
          <w:tcPr>
            <w:tcW w:w="4455" w:type="dxa"/>
            <w:noWrap/>
            <w:hideMark/>
          </w:tcPr>
          <w:p w14:paraId="79107D9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Wema Bank Plc</w:t>
            </w:r>
          </w:p>
        </w:tc>
        <w:tc>
          <w:tcPr>
            <w:tcW w:w="1980" w:type="dxa"/>
            <w:noWrap/>
            <w:hideMark/>
          </w:tcPr>
          <w:p w14:paraId="08AE30E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1974</w:t>
            </w:r>
          </w:p>
        </w:tc>
        <w:tc>
          <w:tcPr>
            <w:tcW w:w="2070" w:type="dxa"/>
            <w:noWrap/>
            <w:hideMark/>
          </w:tcPr>
          <w:p w14:paraId="1D9769FC"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4687D6A3" w14:textId="77777777" w:rsidTr="0080564B">
        <w:trPr>
          <w:trHeight w:val="345"/>
        </w:trPr>
        <w:tc>
          <w:tcPr>
            <w:tcW w:w="960" w:type="dxa"/>
            <w:noWrap/>
            <w:hideMark/>
          </w:tcPr>
          <w:p w14:paraId="5833A42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w:t>
            </w:r>
          </w:p>
        </w:tc>
        <w:tc>
          <w:tcPr>
            <w:tcW w:w="4455" w:type="dxa"/>
            <w:noWrap/>
            <w:hideMark/>
          </w:tcPr>
          <w:p w14:paraId="502DD2C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Zenith Bank Plc</w:t>
            </w:r>
          </w:p>
        </w:tc>
        <w:tc>
          <w:tcPr>
            <w:tcW w:w="1980" w:type="dxa"/>
            <w:noWrap/>
            <w:hideMark/>
          </w:tcPr>
          <w:p w14:paraId="08FCB96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2004</w:t>
            </w:r>
          </w:p>
        </w:tc>
        <w:tc>
          <w:tcPr>
            <w:tcW w:w="2070" w:type="dxa"/>
            <w:noWrap/>
            <w:hideMark/>
          </w:tcPr>
          <w:p w14:paraId="62613700"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r w:rsidR="0080564B" w:rsidRPr="0080564B" w14:paraId="742229CD" w14:textId="77777777" w:rsidTr="0080564B">
        <w:trPr>
          <w:trHeight w:val="360"/>
        </w:trPr>
        <w:tc>
          <w:tcPr>
            <w:tcW w:w="960" w:type="dxa"/>
            <w:noWrap/>
            <w:hideMark/>
          </w:tcPr>
          <w:p w14:paraId="64420AA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15</w:t>
            </w:r>
          </w:p>
        </w:tc>
        <w:tc>
          <w:tcPr>
            <w:tcW w:w="4455" w:type="dxa"/>
            <w:noWrap/>
            <w:hideMark/>
          </w:tcPr>
          <w:p w14:paraId="54A0520F" w14:textId="77777777" w:rsidR="0080564B" w:rsidRPr="0080564B" w:rsidRDefault="0080564B" w:rsidP="0080564B">
            <w:pPr>
              <w:spacing w:after="0" w:line="240" w:lineRule="auto"/>
              <w:rPr>
                <w:rFonts w:ascii="Times New Roman" w:eastAsia="Times New Roman" w:hAnsi="Times New Roman"/>
                <w:color w:val="000000"/>
                <w:sz w:val="24"/>
                <w:szCs w:val="24"/>
              </w:rPr>
            </w:pPr>
            <w:proofErr w:type="spellStart"/>
            <w:r w:rsidRPr="0080564B">
              <w:rPr>
                <w:rFonts w:ascii="Times New Roman" w:eastAsia="Times New Roman" w:hAnsi="Times New Roman"/>
                <w:color w:val="000000"/>
                <w:sz w:val="24"/>
                <w:szCs w:val="24"/>
              </w:rPr>
              <w:t>Jaiz</w:t>
            </w:r>
            <w:proofErr w:type="spellEnd"/>
            <w:r w:rsidRPr="0080564B">
              <w:rPr>
                <w:rFonts w:ascii="Times New Roman" w:eastAsia="Times New Roman" w:hAnsi="Times New Roman"/>
                <w:color w:val="000000"/>
                <w:sz w:val="24"/>
                <w:szCs w:val="24"/>
              </w:rPr>
              <w:t xml:space="preserve"> Bank Plc</w:t>
            </w:r>
          </w:p>
        </w:tc>
        <w:tc>
          <w:tcPr>
            <w:tcW w:w="1980" w:type="dxa"/>
            <w:noWrap/>
            <w:hideMark/>
          </w:tcPr>
          <w:p w14:paraId="2578E0A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2003</w:t>
            </w:r>
          </w:p>
        </w:tc>
        <w:tc>
          <w:tcPr>
            <w:tcW w:w="2070" w:type="dxa"/>
            <w:noWrap/>
            <w:hideMark/>
          </w:tcPr>
          <w:p w14:paraId="294FC415" w14:textId="77777777" w:rsidR="0080564B" w:rsidRPr="0080564B" w:rsidRDefault="0080564B" w:rsidP="0080564B">
            <w:pPr>
              <w:spacing w:after="0" w:line="240" w:lineRule="auto"/>
              <w:rPr>
                <w:rFonts w:ascii="Segoe UI Symbol" w:eastAsia="Times New Roman" w:hAnsi="Segoe UI Symbol" w:cs="Calibri"/>
                <w:color w:val="000000"/>
                <w:sz w:val="24"/>
                <w:szCs w:val="24"/>
              </w:rPr>
            </w:pPr>
            <w:r w:rsidRPr="0080564B">
              <w:rPr>
                <w:rFonts w:ascii="Segoe UI Symbol" w:eastAsia="Times New Roman" w:hAnsi="Segoe UI Symbol" w:cs="Calibri"/>
                <w:color w:val="000000"/>
                <w:sz w:val="24"/>
                <w:szCs w:val="24"/>
              </w:rPr>
              <w:t>✔</w:t>
            </w:r>
          </w:p>
        </w:tc>
      </w:tr>
    </w:tbl>
    <w:p w14:paraId="5DAA84F2"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Field Survey, 2026</w:t>
      </w:r>
    </w:p>
    <w:p w14:paraId="71BB324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Secondary data were obtained from the audited annual reports of the sampled banks listed on the Nigerian Exchange. Multiple regression analysis was conducted using STATA 13 to estimate the study models and test the stated hypotheses. The study adapts the model </w:t>
      </w:r>
      <w:proofErr w:type="spellStart"/>
      <w:r w:rsidRPr="0080564B">
        <w:rPr>
          <w:rFonts w:ascii="Times New Roman" w:hAnsi="Times New Roman"/>
          <w:sz w:val="24"/>
          <w:szCs w:val="24"/>
        </w:rPr>
        <w:t>of f</w:t>
      </w:r>
      <w:proofErr w:type="spellEnd"/>
      <w:r w:rsidRPr="0080564B">
        <w:rPr>
          <w:rFonts w:ascii="Times New Roman" w:hAnsi="Times New Roman"/>
          <w:sz w:val="24"/>
          <w:szCs w:val="24"/>
        </w:rPr>
        <w:t xml:space="preserve"> Bagh et al. (2023), specified as:</w:t>
      </w:r>
    </w:p>
    <w:p w14:paraId="358472A9"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ROA_it</w:t>
      </w:r>
      <w:proofErr w:type="spellEnd"/>
      <w:r w:rsidRPr="0080564B">
        <w:rPr>
          <w:rFonts w:ascii="Times New Roman" w:hAnsi="Times New Roman"/>
          <w:sz w:val="24"/>
          <w:szCs w:val="24"/>
        </w:rPr>
        <w:t xml:space="preserve">=β_0+β_1 </w:t>
      </w:r>
      <w:proofErr w:type="spellStart"/>
      <w:r w:rsidRPr="0080564B">
        <w:rPr>
          <w:rFonts w:ascii="Times New Roman" w:hAnsi="Times New Roman"/>
          <w:sz w:val="24"/>
          <w:szCs w:val="24"/>
        </w:rPr>
        <w:t>BS_it</w:t>
      </w:r>
      <w:proofErr w:type="spellEnd"/>
      <w:r w:rsidRPr="0080564B">
        <w:rPr>
          <w:rFonts w:ascii="Times New Roman" w:hAnsi="Times New Roman"/>
          <w:sz w:val="24"/>
          <w:szCs w:val="24"/>
        </w:rPr>
        <w:t xml:space="preserve">+β_2 </w:t>
      </w:r>
      <w:proofErr w:type="spellStart"/>
      <w:r w:rsidRPr="0080564B">
        <w:rPr>
          <w:rFonts w:ascii="Times New Roman" w:hAnsi="Times New Roman"/>
          <w:sz w:val="24"/>
          <w:szCs w:val="24"/>
        </w:rPr>
        <w:t>BG_it</w:t>
      </w:r>
      <w:proofErr w:type="spellEnd"/>
      <w:r w:rsidRPr="0080564B">
        <w:rPr>
          <w:rFonts w:ascii="Times New Roman" w:hAnsi="Times New Roman"/>
          <w:sz w:val="24"/>
          <w:szCs w:val="24"/>
        </w:rPr>
        <w:t xml:space="preserve">+β_3 </w:t>
      </w:r>
      <w:proofErr w:type="spellStart"/>
      <w:r w:rsidRPr="0080564B">
        <w:rPr>
          <w:rFonts w:ascii="Times New Roman" w:hAnsi="Times New Roman"/>
          <w:sz w:val="24"/>
          <w:szCs w:val="24"/>
        </w:rPr>
        <w:t>FCEO_it</w:t>
      </w:r>
      <w:proofErr w:type="spellEnd"/>
      <w:r w:rsidRPr="0080564B">
        <w:rPr>
          <w:rFonts w:ascii="Times New Roman" w:hAnsi="Times New Roman"/>
          <w:sz w:val="24"/>
          <w:szCs w:val="24"/>
        </w:rPr>
        <w:t xml:space="preserve">+β_4 </w:t>
      </w:r>
      <w:proofErr w:type="spellStart"/>
      <w:r w:rsidRPr="0080564B">
        <w:rPr>
          <w:rFonts w:ascii="Times New Roman" w:hAnsi="Times New Roman"/>
          <w:sz w:val="24"/>
          <w:szCs w:val="24"/>
        </w:rPr>
        <w:t>BI_it</w:t>
      </w:r>
      <w:proofErr w:type="spellEnd"/>
      <w:r w:rsidRPr="0080564B">
        <w:rPr>
          <w:rFonts w:ascii="Times New Roman" w:hAnsi="Times New Roman"/>
          <w:sz w:val="24"/>
          <w:szCs w:val="24"/>
        </w:rPr>
        <w:t xml:space="preserve">+β_5 </w:t>
      </w:r>
      <w:proofErr w:type="spellStart"/>
      <w:r w:rsidRPr="0080564B">
        <w:rPr>
          <w:rFonts w:ascii="Times New Roman" w:hAnsi="Times New Roman"/>
          <w:sz w:val="24"/>
          <w:szCs w:val="24"/>
        </w:rPr>
        <w:t>FS_it+ε_it</w:t>
      </w:r>
      <w:proofErr w:type="spellEnd"/>
    </w:p>
    <w:p w14:paraId="352F7EF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where ROA is return on assets, BS is board size, BG is board gender diversity, FCEO is female chief executive officer, BI is board independence, and FS is firm size.</w:t>
      </w:r>
    </w:p>
    <w:p w14:paraId="7A26545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present study modifies this model by focusing on board gender diversity and incorporating the moderating effect of firm age. The first model examines the direct effects of female CEO representation, female directors, firm age, and firm size on return on equity:</w:t>
      </w:r>
    </w:p>
    <w:p w14:paraId="2B7F9269"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t>ROE_it</w:t>
      </w:r>
      <w:proofErr w:type="spellEnd"/>
      <w:r w:rsidRPr="0080564B">
        <w:rPr>
          <w:rFonts w:ascii="Times New Roman" w:hAnsi="Times New Roman"/>
          <w:sz w:val="24"/>
          <w:szCs w:val="24"/>
        </w:rPr>
        <w:t xml:space="preserve">=β_0+β_1 </w:t>
      </w:r>
      <w:proofErr w:type="spellStart"/>
      <w:r w:rsidRPr="0080564B">
        <w:rPr>
          <w:rFonts w:ascii="Times New Roman" w:hAnsi="Times New Roman"/>
          <w:sz w:val="24"/>
          <w:szCs w:val="24"/>
        </w:rPr>
        <w:t>FCEO_it</w:t>
      </w:r>
      <w:proofErr w:type="spellEnd"/>
      <w:r w:rsidRPr="0080564B">
        <w:rPr>
          <w:rFonts w:ascii="Times New Roman" w:hAnsi="Times New Roman"/>
          <w:sz w:val="24"/>
          <w:szCs w:val="24"/>
        </w:rPr>
        <w:t xml:space="preserve">+β_2 </w:t>
      </w:r>
      <w:proofErr w:type="spellStart"/>
      <w:r w:rsidRPr="0080564B">
        <w:rPr>
          <w:rFonts w:ascii="Times New Roman" w:hAnsi="Times New Roman"/>
          <w:sz w:val="24"/>
          <w:szCs w:val="24"/>
        </w:rPr>
        <w:t>FDIR_it</w:t>
      </w:r>
      <w:proofErr w:type="spellEnd"/>
      <w:r w:rsidRPr="0080564B">
        <w:rPr>
          <w:rFonts w:ascii="Times New Roman" w:hAnsi="Times New Roman"/>
          <w:sz w:val="24"/>
          <w:szCs w:val="24"/>
        </w:rPr>
        <w:t xml:space="preserve">+β_3 </w:t>
      </w:r>
      <w:proofErr w:type="spellStart"/>
      <w:r w:rsidRPr="0080564B">
        <w:rPr>
          <w:rFonts w:ascii="Times New Roman" w:hAnsi="Times New Roman"/>
          <w:sz w:val="24"/>
          <w:szCs w:val="24"/>
        </w:rPr>
        <w:t>FAGE_it</w:t>
      </w:r>
      <w:proofErr w:type="spellEnd"/>
      <w:r w:rsidRPr="0080564B">
        <w:rPr>
          <w:rFonts w:ascii="Times New Roman" w:hAnsi="Times New Roman"/>
          <w:sz w:val="24"/>
          <w:szCs w:val="24"/>
        </w:rPr>
        <w:t xml:space="preserve">+β_4 </w:t>
      </w:r>
      <w:proofErr w:type="spellStart"/>
      <w:r w:rsidRPr="0080564B">
        <w:rPr>
          <w:rFonts w:ascii="Times New Roman" w:hAnsi="Times New Roman"/>
          <w:sz w:val="24"/>
          <w:szCs w:val="24"/>
        </w:rPr>
        <w:t>FSZE_it+ε_it</w:t>
      </w:r>
      <w:proofErr w:type="spellEnd"/>
    </w:p>
    <w:p w14:paraId="58208E2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second model introduces interaction terms to test whether firm age moderates the relationship between gender diversity and firm performance:</w:t>
      </w:r>
    </w:p>
    <w:p w14:paraId="73FA36FF" w14:textId="77777777" w:rsidR="0080564B" w:rsidRPr="0080564B" w:rsidRDefault="0080564B" w:rsidP="0080564B">
      <w:pPr>
        <w:spacing w:after="240" w:line="240" w:lineRule="auto"/>
        <w:jc w:val="both"/>
        <w:rPr>
          <w:rFonts w:ascii="Times New Roman" w:hAnsi="Times New Roman"/>
          <w:sz w:val="24"/>
          <w:szCs w:val="24"/>
        </w:rPr>
      </w:pPr>
      <w:proofErr w:type="spellStart"/>
      <w:r w:rsidRPr="0080564B">
        <w:rPr>
          <w:rFonts w:ascii="Times New Roman" w:hAnsi="Times New Roman"/>
          <w:sz w:val="24"/>
          <w:szCs w:val="24"/>
        </w:rPr>
        <w:lastRenderedPageBreak/>
        <w:t>ROE_it</w:t>
      </w:r>
      <w:proofErr w:type="spellEnd"/>
      <w:r w:rsidRPr="0080564B">
        <w:rPr>
          <w:rFonts w:ascii="Times New Roman" w:hAnsi="Times New Roman"/>
          <w:sz w:val="24"/>
          <w:szCs w:val="24"/>
        </w:rPr>
        <w:t xml:space="preserve">=β_0+β_1 </w:t>
      </w:r>
      <w:proofErr w:type="spellStart"/>
      <w:r w:rsidRPr="0080564B">
        <w:rPr>
          <w:rFonts w:ascii="Times New Roman" w:hAnsi="Times New Roman"/>
          <w:sz w:val="24"/>
          <w:szCs w:val="24"/>
        </w:rPr>
        <w:t>FCEO_it</w:t>
      </w:r>
      <w:proofErr w:type="spellEnd"/>
      <w:r w:rsidRPr="0080564B">
        <w:rPr>
          <w:rFonts w:ascii="Times New Roman" w:hAnsi="Times New Roman"/>
          <w:sz w:val="24"/>
          <w:szCs w:val="24"/>
        </w:rPr>
        <w:t xml:space="preserve">+β_2 </w:t>
      </w:r>
      <w:proofErr w:type="spellStart"/>
      <w:r w:rsidRPr="0080564B">
        <w:rPr>
          <w:rFonts w:ascii="Times New Roman" w:hAnsi="Times New Roman"/>
          <w:sz w:val="24"/>
          <w:szCs w:val="24"/>
        </w:rPr>
        <w:t>FDIR_it</w:t>
      </w:r>
      <w:proofErr w:type="spellEnd"/>
      <w:r w:rsidRPr="0080564B">
        <w:rPr>
          <w:rFonts w:ascii="Times New Roman" w:hAnsi="Times New Roman"/>
          <w:sz w:val="24"/>
          <w:szCs w:val="24"/>
        </w:rPr>
        <w:t xml:space="preserve">+β_3 </w:t>
      </w:r>
      <w:proofErr w:type="spellStart"/>
      <w:r w:rsidRPr="0080564B">
        <w:rPr>
          <w:rFonts w:ascii="Times New Roman" w:hAnsi="Times New Roman"/>
          <w:sz w:val="24"/>
          <w:szCs w:val="24"/>
        </w:rPr>
        <w:t>FAGE_it</w:t>
      </w:r>
      <w:proofErr w:type="spellEnd"/>
      <w:r w:rsidRPr="0080564B">
        <w:rPr>
          <w:rFonts w:ascii="Times New Roman" w:hAnsi="Times New Roman"/>
          <w:sz w:val="24"/>
          <w:szCs w:val="24"/>
        </w:rPr>
        <w:t>+β_4 (</w:t>
      </w:r>
      <w:proofErr w:type="spellStart"/>
      <w:r w:rsidRPr="0080564B">
        <w:rPr>
          <w:rFonts w:ascii="Times New Roman" w:hAnsi="Times New Roman"/>
          <w:sz w:val="24"/>
          <w:szCs w:val="24"/>
        </w:rPr>
        <w:t>FCEO_it×FAGE_</w:t>
      </w:r>
      <w:proofErr w:type="gramStart"/>
      <w:r w:rsidRPr="0080564B">
        <w:rPr>
          <w:rFonts w:ascii="Times New Roman" w:hAnsi="Times New Roman"/>
          <w:sz w:val="24"/>
          <w:szCs w:val="24"/>
        </w:rPr>
        <w:t>it</w:t>
      </w:r>
      <w:proofErr w:type="spellEnd"/>
      <w:r w:rsidRPr="0080564B">
        <w:rPr>
          <w:rFonts w:ascii="Times New Roman" w:hAnsi="Times New Roman"/>
          <w:sz w:val="24"/>
          <w:szCs w:val="24"/>
        </w:rPr>
        <w:t>)+</w:t>
      </w:r>
      <w:proofErr w:type="gramEnd"/>
      <w:r w:rsidRPr="0080564B">
        <w:rPr>
          <w:rFonts w:ascii="Times New Roman" w:hAnsi="Times New Roman"/>
          <w:sz w:val="24"/>
          <w:szCs w:val="24"/>
        </w:rPr>
        <w:t>β_5 (</w:t>
      </w:r>
      <w:proofErr w:type="spellStart"/>
      <w:r w:rsidRPr="0080564B">
        <w:rPr>
          <w:rFonts w:ascii="Times New Roman" w:hAnsi="Times New Roman"/>
          <w:sz w:val="24"/>
          <w:szCs w:val="24"/>
        </w:rPr>
        <w:t>FDIR_it×FAGE_</w:t>
      </w:r>
      <w:proofErr w:type="gramStart"/>
      <w:r w:rsidRPr="0080564B">
        <w:rPr>
          <w:rFonts w:ascii="Times New Roman" w:hAnsi="Times New Roman"/>
          <w:sz w:val="24"/>
          <w:szCs w:val="24"/>
        </w:rPr>
        <w:t>it</w:t>
      </w:r>
      <w:proofErr w:type="spellEnd"/>
      <w:r w:rsidRPr="0080564B">
        <w:rPr>
          <w:rFonts w:ascii="Times New Roman" w:hAnsi="Times New Roman"/>
          <w:sz w:val="24"/>
          <w:szCs w:val="24"/>
        </w:rPr>
        <w:t>)+</w:t>
      </w:r>
      <w:proofErr w:type="gramEnd"/>
      <w:r w:rsidRPr="0080564B">
        <w:rPr>
          <w:rFonts w:ascii="Times New Roman" w:hAnsi="Times New Roman"/>
          <w:sz w:val="24"/>
          <w:szCs w:val="24"/>
        </w:rPr>
        <w:t xml:space="preserve">β_6 </w:t>
      </w:r>
      <w:proofErr w:type="spellStart"/>
      <w:r w:rsidRPr="0080564B">
        <w:rPr>
          <w:rFonts w:ascii="Times New Roman" w:hAnsi="Times New Roman"/>
          <w:sz w:val="24"/>
          <w:szCs w:val="24"/>
        </w:rPr>
        <w:t>FSZE_it+ε_it</w:t>
      </w:r>
      <w:proofErr w:type="spellEnd"/>
    </w:p>
    <w:p w14:paraId="611CC3C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where ROE is return on equity, FCEO is female CEO representation, FDIR is female director representation, FAGE is firm age, FSZE is firm size, β_0 is the regression intercept, β_1–β_6 are the estimated coefficients, </w:t>
      </w:r>
      <w:proofErr w:type="spellStart"/>
      <w:r w:rsidRPr="0080564B">
        <w:rPr>
          <w:rFonts w:ascii="Times New Roman" w:hAnsi="Times New Roman"/>
          <w:sz w:val="24"/>
          <w:szCs w:val="24"/>
        </w:rPr>
        <w:t>i</w:t>
      </w:r>
      <w:proofErr w:type="spellEnd"/>
      <w:r w:rsidRPr="0080564B">
        <w:rPr>
          <w:rFonts w:ascii="Times New Roman" w:hAnsi="Times New Roman"/>
          <w:sz w:val="24"/>
          <w:szCs w:val="24"/>
        </w:rPr>
        <w:t xml:space="preserve"> represents the firm, t represents time, and ε is the error term. Diagnostic tests were conducted to assess whether the regression assumptions were satisfied. These tests covered normality, multicollinearity, heteroskedasticity, autocorrelation, model specification, and robustness. Robustness tests were also performed to assess the reliability of the regression results, which are presented alongside the diagnostic tests in Section 4.</w:t>
      </w:r>
    </w:p>
    <w:p w14:paraId="278EAB5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2</w:t>
      </w:r>
    </w:p>
    <w:p w14:paraId="274FF57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Variable and their Measurement</w:t>
      </w:r>
    </w:p>
    <w:tbl>
      <w:tblPr>
        <w:tblW w:w="101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176"/>
        <w:gridCol w:w="5052"/>
        <w:gridCol w:w="2121"/>
      </w:tblGrid>
      <w:tr w:rsidR="0080564B" w:rsidRPr="0080564B" w14:paraId="329AB9BB" w14:textId="77777777" w:rsidTr="0080564B">
        <w:trPr>
          <w:trHeight w:val="330"/>
        </w:trPr>
        <w:tc>
          <w:tcPr>
            <w:tcW w:w="1815" w:type="dxa"/>
            <w:noWrap/>
            <w:hideMark/>
          </w:tcPr>
          <w:p w14:paraId="41895776"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Variable</w:t>
            </w:r>
          </w:p>
        </w:tc>
        <w:tc>
          <w:tcPr>
            <w:tcW w:w="1176" w:type="dxa"/>
            <w:noWrap/>
            <w:hideMark/>
          </w:tcPr>
          <w:p w14:paraId="4CED134C"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Acronym</w:t>
            </w:r>
          </w:p>
        </w:tc>
        <w:tc>
          <w:tcPr>
            <w:tcW w:w="5052" w:type="dxa"/>
            <w:noWrap/>
            <w:hideMark/>
          </w:tcPr>
          <w:p w14:paraId="3E0A24C0"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Measurement</w:t>
            </w:r>
          </w:p>
        </w:tc>
        <w:tc>
          <w:tcPr>
            <w:tcW w:w="2121" w:type="dxa"/>
            <w:noWrap/>
            <w:hideMark/>
          </w:tcPr>
          <w:p w14:paraId="2630A0EF"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Source</w:t>
            </w:r>
          </w:p>
        </w:tc>
      </w:tr>
      <w:tr w:rsidR="0080564B" w:rsidRPr="0080564B" w14:paraId="5A47332B" w14:textId="77777777" w:rsidTr="0080564B">
        <w:trPr>
          <w:trHeight w:val="315"/>
        </w:trPr>
        <w:tc>
          <w:tcPr>
            <w:tcW w:w="8043" w:type="dxa"/>
            <w:gridSpan w:val="3"/>
            <w:noWrap/>
            <w:hideMark/>
          </w:tcPr>
          <w:p w14:paraId="74D40AA8"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Dependent Variable</w:t>
            </w:r>
          </w:p>
        </w:tc>
        <w:tc>
          <w:tcPr>
            <w:tcW w:w="2121" w:type="dxa"/>
            <w:noWrap/>
            <w:hideMark/>
          </w:tcPr>
          <w:p w14:paraId="05A9B310"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1C2777D4" w14:textId="77777777" w:rsidTr="0080564B">
        <w:trPr>
          <w:trHeight w:val="315"/>
        </w:trPr>
        <w:tc>
          <w:tcPr>
            <w:tcW w:w="1815" w:type="dxa"/>
            <w:noWrap/>
            <w:hideMark/>
          </w:tcPr>
          <w:p w14:paraId="7882E7F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Return on Equity</w:t>
            </w:r>
          </w:p>
        </w:tc>
        <w:tc>
          <w:tcPr>
            <w:tcW w:w="1176" w:type="dxa"/>
            <w:noWrap/>
            <w:hideMark/>
          </w:tcPr>
          <w:p w14:paraId="5109C56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ROE</w:t>
            </w:r>
          </w:p>
        </w:tc>
        <w:tc>
          <w:tcPr>
            <w:tcW w:w="5052" w:type="dxa"/>
            <w:noWrap/>
            <w:hideMark/>
          </w:tcPr>
          <w:p w14:paraId="7EE7A03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Profit after tax divided by total equity</w:t>
            </w:r>
          </w:p>
        </w:tc>
        <w:tc>
          <w:tcPr>
            <w:tcW w:w="2121" w:type="dxa"/>
            <w:noWrap/>
            <w:hideMark/>
          </w:tcPr>
          <w:p w14:paraId="16FA51F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noProof/>
                <w:color w:val="000000"/>
                <w:sz w:val="24"/>
                <w:szCs w:val="24"/>
              </w:rPr>
              <w:t>(Ibrahim &amp; Ahmed, 2020)</w:t>
            </w:r>
          </w:p>
        </w:tc>
      </w:tr>
      <w:tr w:rsidR="0080564B" w:rsidRPr="0080564B" w14:paraId="2B96FAED" w14:textId="77777777" w:rsidTr="0080564B">
        <w:trPr>
          <w:trHeight w:val="315"/>
        </w:trPr>
        <w:tc>
          <w:tcPr>
            <w:tcW w:w="8043" w:type="dxa"/>
            <w:gridSpan w:val="3"/>
            <w:noWrap/>
            <w:hideMark/>
          </w:tcPr>
          <w:p w14:paraId="312CC699"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Independent Variables</w:t>
            </w:r>
          </w:p>
        </w:tc>
        <w:tc>
          <w:tcPr>
            <w:tcW w:w="2121" w:type="dxa"/>
            <w:noWrap/>
            <w:hideMark/>
          </w:tcPr>
          <w:p w14:paraId="1DCBB978"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5F9C0822" w14:textId="77777777" w:rsidTr="0080564B">
        <w:trPr>
          <w:trHeight w:val="315"/>
        </w:trPr>
        <w:tc>
          <w:tcPr>
            <w:tcW w:w="1815" w:type="dxa"/>
            <w:noWrap/>
            <w:hideMark/>
          </w:tcPr>
          <w:p w14:paraId="5A2510C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Female CEO</w:t>
            </w:r>
          </w:p>
        </w:tc>
        <w:tc>
          <w:tcPr>
            <w:tcW w:w="1176" w:type="dxa"/>
            <w:noWrap/>
            <w:hideMark/>
          </w:tcPr>
          <w:p w14:paraId="5B0111A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5052" w:type="dxa"/>
            <w:noWrap/>
            <w:hideMark/>
          </w:tcPr>
          <w:p w14:paraId="530F4DC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Dummy variable: presence of female CEO = 1, absence = 0</w:t>
            </w:r>
          </w:p>
        </w:tc>
        <w:tc>
          <w:tcPr>
            <w:tcW w:w="2121" w:type="dxa"/>
            <w:noWrap/>
            <w:hideMark/>
          </w:tcPr>
          <w:p w14:paraId="0D2856F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noProof/>
                <w:color w:val="000000"/>
                <w:sz w:val="24"/>
                <w:szCs w:val="24"/>
              </w:rPr>
              <w:t>(Lara et al., 2017)</w:t>
            </w:r>
          </w:p>
        </w:tc>
      </w:tr>
      <w:tr w:rsidR="0080564B" w:rsidRPr="0080564B" w14:paraId="632760FB" w14:textId="77777777" w:rsidTr="0080564B">
        <w:trPr>
          <w:trHeight w:val="315"/>
        </w:trPr>
        <w:tc>
          <w:tcPr>
            <w:tcW w:w="1815" w:type="dxa"/>
            <w:noWrap/>
            <w:hideMark/>
          </w:tcPr>
          <w:p w14:paraId="7FF0DD1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Female Director</w:t>
            </w:r>
          </w:p>
        </w:tc>
        <w:tc>
          <w:tcPr>
            <w:tcW w:w="1176" w:type="dxa"/>
            <w:noWrap/>
            <w:hideMark/>
          </w:tcPr>
          <w:p w14:paraId="565F766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5052" w:type="dxa"/>
            <w:noWrap/>
            <w:hideMark/>
          </w:tcPr>
          <w:p w14:paraId="274F2C2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Proportion of female directors on board</w:t>
            </w:r>
          </w:p>
        </w:tc>
        <w:tc>
          <w:tcPr>
            <w:tcW w:w="2121" w:type="dxa"/>
            <w:noWrap/>
            <w:hideMark/>
          </w:tcPr>
          <w:p w14:paraId="235DDE5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noProof/>
                <w:color w:val="000000"/>
                <w:sz w:val="24"/>
                <w:szCs w:val="24"/>
              </w:rPr>
              <w:t>(Arun et al., 2015)</w:t>
            </w:r>
          </w:p>
        </w:tc>
      </w:tr>
      <w:tr w:rsidR="0080564B" w:rsidRPr="0080564B" w14:paraId="5550CD68" w14:textId="77777777" w:rsidTr="0080564B">
        <w:trPr>
          <w:trHeight w:val="315"/>
        </w:trPr>
        <w:tc>
          <w:tcPr>
            <w:tcW w:w="8043" w:type="dxa"/>
            <w:gridSpan w:val="3"/>
            <w:noWrap/>
            <w:hideMark/>
          </w:tcPr>
          <w:p w14:paraId="78C071EB"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Moderating Variable</w:t>
            </w:r>
          </w:p>
        </w:tc>
        <w:tc>
          <w:tcPr>
            <w:tcW w:w="2121" w:type="dxa"/>
            <w:noWrap/>
            <w:hideMark/>
          </w:tcPr>
          <w:p w14:paraId="09DF446D"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20F3ED33" w14:textId="77777777" w:rsidTr="0080564B">
        <w:trPr>
          <w:trHeight w:val="315"/>
        </w:trPr>
        <w:tc>
          <w:tcPr>
            <w:tcW w:w="1815" w:type="dxa"/>
            <w:noWrap/>
            <w:hideMark/>
          </w:tcPr>
          <w:p w14:paraId="17E4F76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Firm Age</w:t>
            </w:r>
          </w:p>
        </w:tc>
        <w:tc>
          <w:tcPr>
            <w:tcW w:w="1176" w:type="dxa"/>
            <w:noWrap/>
            <w:hideMark/>
          </w:tcPr>
          <w:p w14:paraId="45F333F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5052" w:type="dxa"/>
            <w:noWrap/>
            <w:hideMark/>
          </w:tcPr>
          <w:p w14:paraId="1E1D112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Number of years firm has been in existence since incorporation</w:t>
            </w:r>
          </w:p>
        </w:tc>
        <w:tc>
          <w:tcPr>
            <w:tcW w:w="2121" w:type="dxa"/>
            <w:noWrap/>
            <w:hideMark/>
          </w:tcPr>
          <w:p w14:paraId="5C28B6A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noProof/>
                <w:color w:val="000000"/>
                <w:sz w:val="24"/>
                <w:szCs w:val="24"/>
              </w:rPr>
              <w:t>(Grosvold, 2011)</w:t>
            </w:r>
          </w:p>
        </w:tc>
      </w:tr>
      <w:tr w:rsidR="0080564B" w:rsidRPr="0080564B" w14:paraId="790B0E97" w14:textId="77777777" w:rsidTr="0080564B">
        <w:trPr>
          <w:trHeight w:val="315"/>
        </w:trPr>
        <w:tc>
          <w:tcPr>
            <w:tcW w:w="2991" w:type="dxa"/>
            <w:gridSpan w:val="2"/>
            <w:noWrap/>
            <w:hideMark/>
          </w:tcPr>
          <w:p w14:paraId="48DF90C6"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Control Variable</w:t>
            </w:r>
          </w:p>
        </w:tc>
        <w:tc>
          <w:tcPr>
            <w:tcW w:w="5052" w:type="dxa"/>
            <w:noWrap/>
            <w:hideMark/>
          </w:tcPr>
          <w:p w14:paraId="43C1CE33"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2121" w:type="dxa"/>
            <w:noWrap/>
            <w:hideMark/>
          </w:tcPr>
          <w:p w14:paraId="7D10654C"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0F6B988A" w14:textId="77777777" w:rsidTr="0080564B">
        <w:trPr>
          <w:trHeight w:val="330"/>
        </w:trPr>
        <w:tc>
          <w:tcPr>
            <w:tcW w:w="1815" w:type="dxa"/>
            <w:noWrap/>
            <w:hideMark/>
          </w:tcPr>
          <w:p w14:paraId="383BABF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Firm Size</w:t>
            </w:r>
          </w:p>
        </w:tc>
        <w:tc>
          <w:tcPr>
            <w:tcW w:w="1176" w:type="dxa"/>
            <w:noWrap/>
            <w:hideMark/>
          </w:tcPr>
          <w:p w14:paraId="64411F5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c>
          <w:tcPr>
            <w:tcW w:w="5052" w:type="dxa"/>
            <w:noWrap/>
            <w:hideMark/>
          </w:tcPr>
          <w:p w14:paraId="315C02B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Natural logarithm of total asset</w:t>
            </w:r>
          </w:p>
        </w:tc>
        <w:tc>
          <w:tcPr>
            <w:tcW w:w="2121" w:type="dxa"/>
            <w:noWrap/>
            <w:hideMark/>
          </w:tcPr>
          <w:p w14:paraId="31E092C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noProof/>
                <w:color w:val="000000"/>
                <w:sz w:val="24"/>
                <w:szCs w:val="24"/>
              </w:rPr>
              <w:t>(Schoonjans et al., 2023)</w:t>
            </w:r>
          </w:p>
        </w:tc>
      </w:tr>
    </w:tbl>
    <w:p w14:paraId="2DC79B1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Researcher’s compilation, 2026</w:t>
      </w:r>
    </w:p>
    <w:p w14:paraId="5D9644C1" w14:textId="77777777" w:rsidR="0080564B" w:rsidRPr="0080564B" w:rsidRDefault="0080564B" w:rsidP="0080564B">
      <w:pPr>
        <w:spacing w:after="240" w:line="240" w:lineRule="auto"/>
        <w:jc w:val="both"/>
        <w:rPr>
          <w:rFonts w:ascii="Times New Roman" w:hAnsi="Times New Roman"/>
          <w:b/>
          <w:sz w:val="28"/>
          <w:szCs w:val="24"/>
        </w:rPr>
      </w:pPr>
      <w:r w:rsidRPr="0080564B">
        <w:rPr>
          <w:rFonts w:ascii="Times New Roman" w:hAnsi="Times New Roman"/>
          <w:b/>
          <w:sz w:val="28"/>
          <w:szCs w:val="24"/>
        </w:rPr>
        <w:t>RESULT AND DISCUSSION</w:t>
      </w:r>
    </w:p>
    <w:p w14:paraId="68D89A2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3</w:t>
      </w:r>
    </w:p>
    <w:p w14:paraId="589F5FB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Descriptive Statistics</w:t>
      </w:r>
    </w:p>
    <w:tbl>
      <w:tblPr>
        <w:tblW w:w="64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960"/>
        <w:gridCol w:w="960"/>
        <w:gridCol w:w="1552"/>
        <w:gridCol w:w="960"/>
        <w:gridCol w:w="960"/>
      </w:tblGrid>
      <w:tr w:rsidR="0080564B" w:rsidRPr="0080564B" w14:paraId="738152E2" w14:textId="77777777" w:rsidTr="0080564B">
        <w:trPr>
          <w:trHeight w:val="330"/>
        </w:trPr>
        <w:tc>
          <w:tcPr>
            <w:tcW w:w="1043" w:type="dxa"/>
            <w:noWrap/>
            <w:hideMark/>
          </w:tcPr>
          <w:p w14:paraId="75274E6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Variable</w:t>
            </w:r>
          </w:p>
        </w:tc>
        <w:tc>
          <w:tcPr>
            <w:tcW w:w="960" w:type="dxa"/>
            <w:noWrap/>
            <w:hideMark/>
          </w:tcPr>
          <w:p w14:paraId="7FF8F48D" w14:textId="77777777" w:rsidR="0080564B" w:rsidRPr="0080564B" w:rsidRDefault="0080564B" w:rsidP="0080564B">
            <w:pPr>
              <w:spacing w:after="0" w:line="240" w:lineRule="auto"/>
              <w:rPr>
                <w:rFonts w:ascii="Times New Roman" w:eastAsia="Times New Roman" w:hAnsi="Times New Roman"/>
                <w:color w:val="000000"/>
                <w:sz w:val="24"/>
                <w:szCs w:val="24"/>
              </w:rPr>
            </w:pPr>
            <w:proofErr w:type="spellStart"/>
            <w:r w:rsidRPr="0080564B">
              <w:rPr>
                <w:rFonts w:ascii="Times New Roman" w:eastAsia="Times New Roman" w:hAnsi="Times New Roman"/>
                <w:color w:val="000000"/>
                <w:sz w:val="24"/>
                <w:szCs w:val="24"/>
              </w:rPr>
              <w:t>Obs</w:t>
            </w:r>
            <w:proofErr w:type="spellEnd"/>
          </w:p>
        </w:tc>
        <w:tc>
          <w:tcPr>
            <w:tcW w:w="960" w:type="dxa"/>
            <w:noWrap/>
            <w:hideMark/>
          </w:tcPr>
          <w:p w14:paraId="0CCACBB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Mean</w:t>
            </w:r>
          </w:p>
        </w:tc>
        <w:tc>
          <w:tcPr>
            <w:tcW w:w="1552" w:type="dxa"/>
            <w:noWrap/>
            <w:hideMark/>
          </w:tcPr>
          <w:p w14:paraId="5AF62D7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Std. Dev.</w:t>
            </w:r>
          </w:p>
        </w:tc>
        <w:tc>
          <w:tcPr>
            <w:tcW w:w="960" w:type="dxa"/>
            <w:noWrap/>
            <w:hideMark/>
          </w:tcPr>
          <w:p w14:paraId="313BA72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Min</w:t>
            </w:r>
          </w:p>
        </w:tc>
        <w:tc>
          <w:tcPr>
            <w:tcW w:w="960" w:type="dxa"/>
            <w:noWrap/>
            <w:hideMark/>
          </w:tcPr>
          <w:p w14:paraId="5887F9A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Max</w:t>
            </w:r>
          </w:p>
        </w:tc>
      </w:tr>
      <w:tr w:rsidR="0080564B" w:rsidRPr="0080564B" w14:paraId="5530EDAB" w14:textId="77777777" w:rsidTr="0080564B">
        <w:trPr>
          <w:trHeight w:val="315"/>
        </w:trPr>
        <w:tc>
          <w:tcPr>
            <w:tcW w:w="1043" w:type="dxa"/>
            <w:noWrap/>
            <w:hideMark/>
          </w:tcPr>
          <w:p w14:paraId="4355926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ROE</w:t>
            </w:r>
          </w:p>
        </w:tc>
        <w:tc>
          <w:tcPr>
            <w:tcW w:w="960" w:type="dxa"/>
            <w:noWrap/>
            <w:hideMark/>
          </w:tcPr>
          <w:p w14:paraId="44DF2FD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960" w:type="dxa"/>
            <w:noWrap/>
            <w:hideMark/>
          </w:tcPr>
          <w:p w14:paraId="413B5FE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0.183</w:t>
            </w:r>
          </w:p>
        </w:tc>
        <w:tc>
          <w:tcPr>
            <w:tcW w:w="1552" w:type="dxa"/>
            <w:noWrap/>
            <w:hideMark/>
          </w:tcPr>
          <w:p w14:paraId="1DDB63C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w:t>
            </w:r>
          </w:p>
        </w:tc>
        <w:tc>
          <w:tcPr>
            <w:tcW w:w="960" w:type="dxa"/>
            <w:noWrap/>
            <w:hideMark/>
          </w:tcPr>
          <w:p w14:paraId="0490C0D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-0.019</w:t>
            </w:r>
          </w:p>
        </w:tc>
        <w:tc>
          <w:tcPr>
            <w:tcW w:w="960" w:type="dxa"/>
            <w:noWrap/>
            <w:hideMark/>
          </w:tcPr>
          <w:p w14:paraId="404293E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0.339</w:t>
            </w:r>
          </w:p>
        </w:tc>
      </w:tr>
      <w:tr w:rsidR="0080564B" w:rsidRPr="0080564B" w14:paraId="64972357" w14:textId="77777777" w:rsidTr="0080564B">
        <w:trPr>
          <w:trHeight w:val="315"/>
        </w:trPr>
        <w:tc>
          <w:tcPr>
            <w:tcW w:w="1043" w:type="dxa"/>
            <w:noWrap/>
            <w:hideMark/>
          </w:tcPr>
          <w:p w14:paraId="511A906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960" w:type="dxa"/>
            <w:noWrap/>
            <w:hideMark/>
          </w:tcPr>
          <w:p w14:paraId="0322FD7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960" w:type="dxa"/>
            <w:noWrap/>
            <w:hideMark/>
          </w:tcPr>
          <w:p w14:paraId="70617DB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0.171</w:t>
            </w:r>
          </w:p>
        </w:tc>
        <w:tc>
          <w:tcPr>
            <w:tcW w:w="1552" w:type="dxa"/>
            <w:noWrap/>
            <w:hideMark/>
          </w:tcPr>
          <w:p w14:paraId="6721A38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0.378</w:t>
            </w:r>
          </w:p>
        </w:tc>
        <w:tc>
          <w:tcPr>
            <w:tcW w:w="960" w:type="dxa"/>
            <w:noWrap/>
            <w:hideMark/>
          </w:tcPr>
          <w:p w14:paraId="108AC01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w:t>
            </w:r>
          </w:p>
        </w:tc>
        <w:tc>
          <w:tcPr>
            <w:tcW w:w="960" w:type="dxa"/>
            <w:noWrap/>
            <w:hideMark/>
          </w:tcPr>
          <w:p w14:paraId="35F7201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r>
      <w:tr w:rsidR="0080564B" w:rsidRPr="0080564B" w14:paraId="154622EA" w14:textId="77777777" w:rsidTr="0080564B">
        <w:trPr>
          <w:trHeight w:val="315"/>
        </w:trPr>
        <w:tc>
          <w:tcPr>
            <w:tcW w:w="1043" w:type="dxa"/>
            <w:noWrap/>
            <w:hideMark/>
          </w:tcPr>
          <w:p w14:paraId="1533ACA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960" w:type="dxa"/>
            <w:noWrap/>
            <w:hideMark/>
          </w:tcPr>
          <w:p w14:paraId="7A7359A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960" w:type="dxa"/>
            <w:noWrap/>
            <w:hideMark/>
          </w:tcPr>
          <w:p w14:paraId="36437DD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0.148</w:t>
            </w:r>
          </w:p>
        </w:tc>
        <w:tc>
          <w:tcPr>
            <w:tcW w:w="1552" w:type="dxa"/>
            <w:noWrap/>
            <w:hideMark/>
          </w:tcPr>
          <w:p w14:paraId="563E711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0.118</w:t>
            </w:r>
          </w:p>
        </w:tc>
        <w:tc>
          <w:tcPr>
            <w:tcW w:w="960" w:type="dxa"/>
            <w:noWrap/>
            <w:hideMark/>
          </w:tcPr>
          <w:p w14:paraId="3485B26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w:t>
            </w:r>
          </w:p>
        </w:tc>
        <w:tc>
          <w:tcPr>
            <w:tcW w:w="960" w:type="dxa"/>
            <w:noWrap/>
            <w:hideMark/>
          </w:tcPr>
          <w:p w14:paraId="081B2AD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0.38</w:t>
            </w:r>
          </w:p>
        </w:tc>
      </w:tr>
      <w:tr w:rsidR="0080564B" w:rsidRPr="0080564B" w14:paraId="33B72C82" w14:textId="77777777" w:rsidTr="0080564B">
        <w:trPr>
          <w:trHeight w:val="315"/>
        </w:trPr>
        <w:tc>
          <w:tcPr>
            <w:tcW w:w="1043" w:type="dxa"/>
            <w:noWrap/>
            <w:hideMark/>
          </w:tcPr>
          <w:p w14:paraId="3EB62B1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960" w:type="dxa"/>
            <w:noWrap/>
            <w:hideMark/>
          </w:tcPr>
          <w:p w14:paraId="6D9F36F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960" w:type="dxa"/>
            <w:noWrap/>
            <w:hideMark/>
          </w:tcPr>
          <w:p w14:paraId="100D85D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25.214</w:t>
            </w:r>
          </w:p>
        </w:tc>
        <w:tc>
          <w:tcPr>
            <w:tcW w:w="1552" w:type="dxa"/>
            <w:noWrap/>
            <w:hideMark/>
          </w:tcPr>
          <w:p w14:paraId="71D5562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13.614</w:t>
            </w:r>
          </w:p>
        </w:tc>
        <w:tc>
          <w:tcPr>
            <w:tcW w:w="960" w:type="dxa"/>
            <w:noWrap/>
            <w:hideMark/>
          </w:tcPr>
          <w:p w14:paraId="20574BC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9</w:t>
            </w:r>
          </w:p>
        </w:tc>
        <w:tc>
          <w:tcPr>
            <w:tcW w:w="960" w:type="dxa"/>
            <w:noWrap/>
            <w:hideMark/>
          </w:tcPr>
          <w:p w14:paraId="50038FF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54</w:t>
            </w:r>
          </w:p>
        </w:tc>
      </w:tr>
      <w:tr w:rsidR="0080564B" w:rsidRPr="0080564B" w14:paraId="74BA783B" w14:textId="77777777" w:rsidTr="0080564B">
        <w:trPr>
          <w:trHeight w:val="330"/>
        </w:trPr>
        <w:tc>
          <w:tcPr>
            <w:tcW w:w="1043" w:type="dxa"/>
            <w:noWrap/>
            <w:hideMark/>
          </w:tcPr>
          <w:p w14:paraId="1533440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c>
          <w:tcPr>
            <w:tcW w:w="960" w:type="dxa"/>
            <w:noWrap/>
            <w:hideMark/>
          </w:tcPr>
          <w:p w14:paraId="6AC5A15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960" w:type="dxa"/>
            <w:noWrap/>
            <w:hideMark/>
          </w:tcPr>
          <w:p w14:paraId="3ACBC73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7.372</w:t>
            </w:r>
          </w:p>
        </w:tc>
        <w:tc>
          <w:tcPr>
            <w:tcW w:w="1552" w:type="dxa"/>
            <w:noWrap/>
            <w:hideMark/>
          </w:tcPr>
          <w:p w14:paraId="36A795B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1.882</w:t>
            </w:r>
          </w:p>
        </w:tc>
        <w:tc>
          <w:tcPr>
            <w:tcW w:w="960" w:type="dxa"/>
            <w:noWrap/>
            <w:hideMark/>
          </w:tcPr>
          <w:p w14:paraId="5627D23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0.232</w:t>
            </w:r>
          </w:p>
        </w:tc>
        <w:tc>
          <w:tcPr>
            <w:tcW w:w="960" w:type="dxa"/>
            <w:noWrap/>
            <w:hideMark/>
          </w:tcPr>
          <w:p w14:paraId="50B96DE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9.651</w:t>
            </w:r>
          </w:p>
        </w:tc>
      </w:tr>
    </w:tbl>
    <w:p w14:paraId="30A3618D"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Stata 13 Output</w:t>
      </w:r>
    </w:p>
    <w:p w14:paraId="06E22A47" w14:textId="77777777" w:rsid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descriptive statistics in Table 3 show that the mean return on equity was 0.183. This indicates that the sampled firms generated an average profit of approximately 18.3% on shareholders’ equity during the study period. The minimum ROE of -0.019 indicates that some firms recorded losses, while the maximum of 0.339 shows that others achieved returns of up to 33.9%. The mean value of FCEO was 0.171, indicating that women led approximately 17% of the sampled firm-years. This reflects the relatively low representation of women in chief executive positions.</w:t>
      </w:r>
    </w:p>
    <w:p w14:paraId="2D7CA748" w14:textId="77777777" w:rsidR="0080564B" w:rsidRPr="0080564B" w:rsidRDefault="0080564B" w:rsidP="0080564B">
      <w:pPr>
        <w:spacing w:after="240" w:line="240" w:lineRule="auto"/>
        <w:jc w:val="both"/>
        <w:rPr>
          <w:rFonts w:ascii="Times New Roman" w:hAnsi="Times New Roman"/>
          <w:sz w:val="24"/>
          <w:szCs w:val="24"/>
        </w:rPr>
      </w:pPr>
      <w:proofErr w:type="gramStart"/>
      <w:r w:rsidRPr="0080564B">
        <w:rPr>
          <w:rFonts w:ascii="Times New Roman" w:hAnsi="Times New Roman"/>
          <w:sz w:val="24"/>
          <w:szCs w:val="24"/>
        </w:rPr>
        <w:t xml:space="preserve">Female </w:t>
      </w:r>
      <w:r>
        <w:rPr>
          <w:rFonts w:ascii="Times New Roman" w:hAnsi="Times New Roman"/>
          <w:sz w:val="24"/>
          <w:szCs w:val="24"/>
        </w:rPr>
        <w:t xml:space="preserve"> </w:t>
      </w:r>
      <w:r w:rsidRPr="0080564B">
        <w:rPr>
          <w:rFonts w:ascii="Times New Roman" w:hAnsi="Times New Roman"/>
          <w:sz w:val="24"/>
          <w:szCs w:val="24"/>
        </w:rPr>
        <w:t>directors</w:t>
      </w:r>
      <w:proofErr w:type="gramEnd"/>
      <w:r w:rsidRPr="0080564B">
        <w:rPr>
          <w:rFonts w:ascii="Times New Roman" w:hAnsi="Times New Roman"/>
          <w:sz w:val="24"/>
          <w:szCs w:val="24"/>
        </w:rPr>
        <w:t xml:space="preserve"> </w:t>
      </w:r>
      <w:proofErr w:type="gramStart"/>
      <w:r w:rsidRPr="0080564B">
        <w:rPr>
          <w:rFonts w:ascii="Times New Roman" w:hAnsi="Times New Roman"/>
          <w:sz w:val="24"/>
          <w:szCs w:val="24"/>
        </w:rPr>
        <w:t xml:space="preserve">accounted </w:t>
      </w:r>
      <w:r>
        <w:rPr>
          <w:rFonts w:ascii="Times New Roman" w:hAnsi="Times New Roman"/>
          <w:sz w:val="24"/>
          <w:szCs w:val="24"/>
        </w:rPr>
        <w:t xml:space="preserve"> </w:t>
      </w:r>
      <w:r w:rsidRPr="0080564B">
        <w:rPr>
          <w:rFonts w:ascii="Times New Roman" w:hAnsi="Times New Roman"/>
          <w:sz w:val="24"/>
          <w:szCs w:val="24"/>
        </w:rPr>
        <w:t>for</w:t>
      </w:r>
      <w:proofErr w:type="gramEnd"/>
      <w:r w:rsidRPr="0080564B">
        <w:rPr>
          <w:rFonts w:ascii="Times New Roman" w:hAnsi="Times New Roman"/>
          <w:sz w:val="24"/>
          <w:szCs w:val="24"/>
        </w:rPr>
        <w:t xml:space="preserve"> an average </w:t>
      </w:r>
      <w:proofErr w:type="gramStart"/>
      <w:r w:rsidRPr="0080564B">
        <w:rPr>
          <w:rFonts w:ascii="Times New Roman" w:hAnsi="Times New Roman"/>
          <w:sz w:val="24"/>
          <w:szCs w:val="24"/>
        </w:rPr>
        <w:t xml:space="preserve">of </w:t>
      </w:r>
      <w:r>
        <w:rPr>
          <w:rFonts w:ascii="Times New Roman" w:hAnsi="Times New Roman"/>
          <w:sz w:val="24"/>
          <w:szCs w:val="24"/>
        </w:rPr>
        <w:t xml:space="preserve"> </w:t>
      </w:r>
      <w:r w:rsidRPr="0080564B">
        <w:rPr>
          <w:rFonts w:ascii="Times New Roman" w:hAnsi="Times New Roman"/>
          <w:sz w:val="24"/>
          <w:szCs w:val="24"/>
        </w:rPr>
        <w:t>14.8</w:t>
      </w:r>
      <w:proofErr w:type="gramEnd"/>
      <w:r w:rsidRPr="0080564B">
        <w:rPr>
          <w:rFonts w:ascii="Times New Roman" w:hAnsi="Times New Roman"/>
          <w:sz w:val="24"/>
          <w:szCs w:val="24"/>
        </w:rPr>
        <w:t xml:space="preserve">% of </w:t>
      </w:r>
      <w:proofErr w:type="gramStart"/>
      <w:r w:rsidRPr="0080564B">
        <w:rPr>
          <w:rFonts w:ascii="Times New Roman" w:hAnsi="Times New Roman"/>
          <w:sz w:val="24"/>
          <w:szCs w:val="24"/>
        </w:rPr>
        <w:t>board</w:t>
      </w:r>
      <w:r>
        <w:rPr>
          <w:rFonts w:ascii="Times New Roman" w:hAnsi="Times New Roman"/>
          <w:sz w:val="24"/>
          <w:szCs w:val="24"/>
        </w:rPr>
        <w:t xml:space="preserve"> </w:t>
      </w:r>
      <w:r w:rsidRPr="0080564B">
        <w:rPr>
          <w:rFonts w:ascii="Times New Roman" w:hAnsi="Times New Roman"/>
          <w:sz w:val="24"/>
          <w:szCs w:val="24"/>
        </w:rPr>
        <w:t xml:space="preserve"> membership</w:t>
      </w:r>
      <w:proofErr w:type="gramEnd"/>
      <w:r w:rsidRPr="0080564B">
        <w:rPr>
          <w:rFonts w:ascii="Times New Roman" w:hAnsi="Times New Roman"/>
          <w:sz w:val="24"/>
          <w:szCs w:val="24"/>
        </w:rPr>
        <w:t xml:space="preserve">, </w:t>
      </w:r>
      <w:proofErr w:type="gramStart"/>
      <w:r w:rsidRPr="0080564B">
        <w:rPr>
          <w:rFonts w:ascii="Times New Roman" w:hAnsi="Times New Roman"/>
          <w:sz w:val="24"/>
          <w:szCs w:val="24"/>
        </w:rPr>
        <w:t>confirming</w:t>
      </w:r>
      <w:r>
        <w:rPr>
          <w:rFonts w:ascii="Times New Roman" w:hAnsi="Times New Roman"/>
          <w:sz w:val="24"/>
          <w:szCs w:val="24"/>
        </w:rPr>
        <w:t xml:space="preserve"> </w:t>
      </w:r>
      <w:r w:rsidRPr="0080564B">
        <w:rPr>
          <w:rFonts w:ascii="Times New Roman" w:hAnsi="Times New Roman"/>
          <w:sz w:val="24"/>
          <w:szCs w:val="24"/>
        </w:rPr>
        <w:t xml:space="preserve"> the</w:t>
      </w:r>
      <w:proofErr w:type="gramEnd"/>
      <w:r w:rsidRPr="0080564B">
        <w:rPr>
          <w:rFonts w:ascii="Times New Roman" w:hAnsi="Times New Roman"/>
          <w:sz w:val="24"/>
          <w:szCs w:val="24"/>
        </w:rPr>
        <w:t xml:space="preserve"> continued gender</w:t>
      </w:r>
    </w:p>
    <w:p w14:paraId="222A458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lastRenderedPageBreak/>
        <w:t>imbalance in board composition. However, the maximum value of 0.38 indicates that some firms had relatively higher female representation. The mean firm age was 25.214 years, suggesting that most sampled firms were established institutions with considerable experience. The minimum and maximum ages of 9 and 54 years, respectively, show that the sample included both relatively young and long-established firms.</w:t>
      </w:r>
    </w:p>
    <w:p w14:paraId="4ABB2E9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mean firm size, measured as the natural logarithm of total assets, was 7.372, with a standard deviation of 1.882. The minimum and maximum values indicate variation between smaller firms and larger corporations. Overall, the variation in the descriptive statistics suggests that the sample contains sufficient differences across the variables for regression analysis.</w:t>
      </w:r>
    </w:p>
    <w:p w14:paraId="09F7B7D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4</w:t>
      </w:r>
    </w:p>
    <w:p w14:paraId="7F55850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Correlation Matrix</w:t>
      </w:r>
    </w:p>
    <w:tbl>
      <w:tblPr>
        <w:tblW w:w="5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960"/>
        <w:gridCol w:w="960"/>
        <w:gridCol w:w="960"/>
        <w:gridCol w:w="960"/>
        <w:gridCol w:w="960"/>
      </w:tblGrid>
      <w:tr w:rsidR="0080564B" w:rsidRPr="0080564B" w14:paraId="368232A3" w14:textId="77777777" w:rsidTr="0080564B">
        <w:trPr>
          <w:trHeight w:val="330"/>
        </w:trPr>
        <w:tc>
          <w:tcPr>
            <w:tcW w:w="960" w:type="dxa"/>
            <w:noWrap/>
            <w:hideMark/>
          </w:tcPr>
          <w:p w14:paraId="0EDD656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Variables</w:t>
            </w:r>
          </w:p>
        </w:tc>
        <w:tc>
          <w:tcPr>
            <w:tcW w:w="960" w:type="dxa"/>
            <w:noWrap/>
            <w:hideMark/>
          </w:tcPr>
          <w:p w14:paraId="5E876CF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ROE</w:t>
            </w:r>
          </w:p>
        </w:tc>
        <w:tc>
          <w:tcPr>
            <w:tcW w:w="960" w:type="dxa"/>
            <w:noWrap/>
            <w:hideMark/>
          </w:tcPr>
          <w:p w14:paraId="0C6B3B8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960" w:type="dxa"/>
            <w:noWrap/>
            <w:hideMark/>
          </w:tcPr>
          <w:p w14:paraId="08D8A6E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960" w:type="dxa"/>
            <w:noWrap/>
            <w:hideMark/>
          </w:tcPr>
          <w:p w14:paraId="7A87D07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960" w:type="dxa"/>
            <w:noWrap/>
            <w:hideMark/>
          </w:tcPr>
          <w:p w14:paraId="475582A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r>
      <w:tr w:rsidR="0080564B" w:rsidRPr="0080564B" w14:paraId="7581F962" w14:textId="77777777" w:rsidTr="0080564B">
        <w:trPr>
          <w:trHeight w:val="315"/>
        </w:trPr>
        <w:tc>
          <w:tcPr>
            <w:tcW w:w="960" w:type="dxa"/>
            <w:noWrap/>
            <w:hideMark/>
          </w:tcPr>
          <w:p w14:paraId="3BDD554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ROE</w:t>
            </w:r>
          </w:p>
        </w:tc>
        <w:tc>
          <w:tcPr>
            <w:tcW w:w="960" w:type="dxa"/>
            <w:noWrap/>
            <w:hideMark/>
          </w:tcPr>
          <w:p w14:paraId="351C87B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c>
          <w:tcPr>
            <w:tcW w:w="960" w:type="dxa"/>
            <w:noWrap/>
            <w:hideMark/>
          </w:tcPr>
          <w:p w14:paraId="2290316F"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10C525A7"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76421F3A"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61B4F0AD"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3FBA90E3" w14:textId="77777777" w:rsidTr="0080564B">
        <w:trPr>
          <w:trHeight w:val="315"/>
        </w:trPr>
        <w:tc>
          <w:tcPr>
            <w:tcW w:w="960" w:type="dxa"/>
            <w:noWrap/>
            <w:hideMark/>
          </w:tcPr>
          <w:p w14:paraId="16490AF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960" w:type="dxa"/>
            <w:noWrap/>
            <w:hideMark/>
          </w:tcPr>
          <w:p w14:paraId="0B36114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-0.036</w:t>
            </w:r>
          </w:p>
        </w:tc>
        <w:tc>
          <w:tcPr>
            <w:tcW w:w="960" w:type="dxa"/>
            <w:noWrap/>
            <w:hideMark/>
          </w:tcPr>
          <w:p w14:paraId="3441941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c>
          <w:tcPr>
            <w:tcW w:w="960" w:type="dxa"/>
            <w:noWrap/>
            <w:hideMark/>
          </w:tcPr>
          <w:p w14:paraId="52DAA173"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28709EFB"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038FD3BC"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521B6623" w14:textId="77777777" w:rsidTr="0080564B">
        <w:trPr>
          <w:trHeight w:val="315"/>
        </w:trPr>
        <w:tc>
          <w:tcPr>
            <w:tcW w:w="960" w:type="dxa"/>
            <w:noWrap/>
            <w:hideMark/>
          </w:tcPr>
          <w:p w14:paraId="73553A2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960" w:type="dxa"/>
            <w:noWrap/>
            <w:hideMark/>
          </w:tcPr>
          <w:p w14:paraId="27A4639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0.072</w:t>
            </w:r>
          </w:p>
        </w:tc>
        <w:tc>
          <w:tcPr>
            <w:tcW w:w="960" w:type="dxa"/>
            <w:noWrap/>
            <w:hideMark/>
          </w:tcPr>
          <w:p w14:paraId="688CD8D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-0.003</w:t>
            </w:r>
          </w:p>
        </w:tc>
        <w:tc>
          <w:tcPr>
            <w:tcW w:w="960" w:type="dxa"/>
            <w:noWrap/>
            <w:hideMark/>
          </w:tcPr>
          <w:p w14:paraId="7E67932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c>
          <w:tcPr>
            <w:tcW w:w="960" w:type="dxa"/>
            <w:noWrap/>
            <w:hideMark/>
          </w:tcPr>
          <w:p w14:paraId="66856AAD"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275A6683"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4D4CB5C8" w14:textId="77777777" w:rsidTr="0080564B">
        <w:trPr>
          <w:trHeight w:val="330"/>
        </w:trPr>
        <w:tc>
          <w:tcPr>
            <w:tcW w:w="960" w:type="dxa"/>
            <w:noWrap/>
            <w:hideMark/>
          </w:tcPr>
          <w:p w14:paraId="002A2F8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960" w:type="dxa"/>
            <w:noWrap/>
            <w:hideMark/>
          </w:tcPr>
          <w:p w14:paraId="6D6ED7B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-0.086</w:t>
            </w:r>
          </w:p>
        </w:tc>
        <w:tc>
          <w:tcPr>
            <w:tcW w:w="960" w:type="dxa"/>
            <w:noWrap/>
            <w:hideMark/>
          </w:tcPr>
          <w:p w14:paraId="50574B3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-0.192</w:t>
            </w:r>
          </w:p>
        </w:tc>
        <w:tc>
          <w:tcPr>
            <w:tcW w:w="960" w:type="dxa"/>
            <w:noWrap/>
            <w:hideMark/>
          </w:tcPr>
          <w:p w14:paraId="3FEE932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0.177</w:t>
            </w:r>
          </w:p>
        </w:tc>
        <w:tc>
          <w:tcPr>
            <w:tcW w:w="960" w:type="dxa"/>
            <w:noWrap/>
            <w:hideMark/>
          </w:tcPr>
          <w:p w14:paraId="3E90A5F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c>
          <w:tcPr>
            <w:tcW w:w="960" w:type="dxa"/>
            <w:noWrap/>
            <w:hideMark/>
          </w:tcPr>
          <w:p w14:paraId="4E3B2023"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09EB24E7" w14:textId="77777777" w:rsidTr="0080564B">
        <w:trPr>
          <w:trHeight w:val="330"/>
        </w:trPr>
        <w:tc>
          <w:tcPr>
            <w:tcW w:w="960" w:type="dxa"/>
            <w:noWrap/>
            <w:hideMark/>
          </w:tcPr>
          <w:p w14:paraId="12E6960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c>
          <w:tcPr>
            <w:tcW w:w="960" w:type="dxa"/>
            <w:noWrap/>
            <w:hideMark/>
          </w:tcPr>
          <w:p w14:paraId="3316FC6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0.123</w:t>
            </w:r>
          </w:p>
        </w:tc>
        <w:tc>
          <w:tcPr>
            <w:tcW w:w="960" w:type="dxa"/>
            <w:noWrap/>
            <w:hideMark/>
          </w:tcPr>
          <w:p w14:paraId="13DE2EE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-0.062</w:t>
            </w:r>
          </w:p>
        </w:tc>
        <w:tc>
          <w:tcPr>
            <w:tcW w:w="960" w:type="dxa"/>
            <w:noWrap/>
            <w:hideMark/>
          </w:tcPr>
          <w:p w14:paraId="4DB8FBF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0.083</w:t>
            </w:r>
          </w:p>
        </w:tc>
        <w:tc>
          <w:tcPr>
            <w:tcW w:w="960" w:type="dxa"/>
            <w:noWrap/>
            <w:hideMark/>
          </w:tcPr>
          <w:p w14:paraId="4CA76CE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0.157</w:t>
            </w:r>
          </w:p>
        </w:tc>
        <w:tc>
          <w:tcPr>
            <w:tcW w:w="960" w:type="dxa"/>
            <w:noWrap/>
            <w:hideMark/>
          </w:tcPr>
          <w:p w14:paraId="4E0AA86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w:t>
            </w:r>
          </w:p>
        </w:tc>
      </w:tr>
    </w:tbl>
    <w:p w14:paraId="1CF36F3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Stata 13 Output</w:t>
      </w:r>
    </w:p>
    <w:p w14:paraId="41FE346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correlation results in Table 4 indicate a weak negative relationship between return on equity and female CEOs. This suggests that banks led by female CEOs record slightly lower profitability, although the relationship is too weak to be meaningful on its own. In contrast, the relationship between ROE and female directors is weak but positive, indicating that greater female board representation is marginally associated with higher profitability. Firm age has a weak negative relationship with profitability, suggesting that older banks tend to record slightly lower returns than younger banks. Firm size has a weak positive relationship with profitability, indicating that larger banks may be marginally more profitable.</w:t>
      </w:r>
    </w:p>
    <w:p w14:paraId="502DE9DA"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Regarding the relationships among the explanatory variables, female CEO representation is negatively correlated with firm age, suggesting that younger banks are more likely to appoint female CEOs. Female director representation is positively correlated with firm age, indicating that older banks tend to have slightly higher female board representation.</w:t>
      </w:r>
    </w:p>
    <w:p w14:paraId="0C71292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5</w:t>
      </w:r>
    </w:p>
    <w:p w14:paraId="6C43EE7E"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Variance Inflation Factor</w:t>
      </w:r>
    </w:p>
    <w:tbl>
      <w:tblPr>
        <w:tblW w:w="29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960"/>
        <w:gridCol w:w="960"/>
      </w:tblGrid>
      <w:tr w:rsidR="0080564B" w:rsidRPr="0080564B" w14:paraId="6197C259" w14:textId="77777777" w:rsidTr="0080564B">
        <w:trPr>
          <w:trHeight w:val="330"/>
        </w:trPr>
        <w:tc>
          <w:tcPr>
            <w:tcW w:w="1024" w:type="dxa"/>
            <w:noWrap/>
            <w:hideMark/>
          </w:tcPr>
          <w:p w14:paraId="05213C4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Variable</w:t>
            </w:r>
          </w:p>
        </w:tc>
        <w:tc>
          <w:tcPr>
            <w:tcW w:w="960" w:type="dxa"/>
            <w:noWrap/>
            <w:hideMark/>
          </w:tcPr>
          <w:p w14:paraId="6711536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VIF</w:t>
            </w:r>
          </w:p>
        </w:tc>
        <w:tc>
          <w:tcPr>
            <w:tcW w:w="960" w:type="dxa"/>
            <w:noWrap/>
            <w:hideMark/>
          </w:tcPr>
          <w:p w14:paraId="1EBA067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1/VIF</w:t>
            </w:r>
          </w:p>
        </w:tc>
      </w:tr>
      <w:tr w:rsidR="0080564B" w:rsidRPr="0080564B" w14:paraId="153F5D86" w14:textId="77777777" w:rsidTr="0080564B">
        <w:trPr>
          <w:trHeight w:val="315"/>
        </w:trPr>
        <w:tc>
          <w:tcPr>
            <w:tcW w:w="1024" w:type="dxa"/>
            <w:noWrap/>
            <w:hideMark/>
          </w:tcPr>
          <w:p w14:paraId="1607C17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ROE</w:t>
            </w:r>
          </w:p>
        </w:tc>
        <w:tc>
          <w:tcPr>
            <w:tcW w:w="960" w:type="dxa"/>
            <w:noWrap/>
            <w:hideMark/>
          </w:tcPr>
          <w:p w14:paraId="4296237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1.03</w:t>
            </w:r>
          </w:p>
        </w:tc>
        <w:tc>
          <w:tcPr>
            <w:tcW w:w="960" w:type="dxa"/>
            <w:noWrap/>
            <w:hideMark/>
          </w:tcPr>
          <w:p w14:paraId="14DA496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0.971</w:t>
            </w:r>
          </w:p>
        </w:tc>
      </w:tr>
      <w:tr w:rsidR="0080564B" w:rsidRPr="0080564B" w14:paraId="581FCA19" w14:textId="77777777" w:rsidTr="0080564B">
        <w:trPr>
          <w:trHeight w:val="315"/>
        </w:trPr>
        <w:tc>
          <w:tcPr>
            <w:tcW w:w="1024" w:type="dxa"/>
            <w:noWrap/>
            <w:hideMark/>
          </w:tcPr>
          <w:p w14:paraId="3AF3946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960" w:type="dxa"/>
            <w:noWrap/>
            <w:hideMark/>
          </w:tcPr>
          <w:p w14:paraId="2D9017A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1.02</w:t>
            </w:r>
          </w:p>
        </w:tc>
        <w:tc>
          <w:tcPr>
            <w:tcW w:w="960" w:type="dxa"/>
            <w:noWrap/>
            <w:hideMark/>
          </w:tcPr>
          <w:p w14:paraId="0BE7D69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0.98</w:t>
            </w:r>
          </w:p>
        </w:tc>
      </w:tr>
      <w:tr w:rsidR="0080564B" w:rsidRPr="0080564B" w14:paraId="71587961" w14:textId="77777777" w:rsidTr="0080564B">
        <w:trPr>
          <w:trHeight w:val="315"/>
        </w:trPr>
        <w:tc>
          <w:tcPr>
            <w:tcW w:w="1024" w:type="dxa"/>
            <w:noWrap/>
            <w:hideMark/>
          </w:tcPr>
          <w:p w14:paraId="5699153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960" w:type="dxa"/>
            <w:noWrap/>
            <w:hideMark/>
          </w:tcPr>
          <w:p w14:paraId="49CFF40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1.01</w:t>
            </w:r>
          </w:p>
        </w:tc>
        <w:tc>
          <w:tcPr>
            <w:tcW w:w="960" w:type="dxa"/>
            <w:noWrap/>
            <w:hideMark/>
          </w:tcPr>
          <w:p w14:paraId="49D0FBC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0.99</w:t>
            </w:r>
          </w:p>
        </w:tc>
      </w:tr>
      <w:tr w:rsidR="0080564B" w:rsidRPr="0080564B" w14:paraId="32F6828F" w14:textId="77777777" w:rsidTr="0080564B">
        <w:trPr>
          <w:trHeight w:val="315"/>
        </w:trPr>
        <w:tc>
          <w:tcPr>
            <w:tcW w:w="1024" w:type="dxa"/>
            <w:noWrap/>
            <w:hideMark/>
          </w:tcPr>
          <w:p w14:paraId="6A3567E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960" w:type="dxa"/>
            <w:noWrap/>
            <w:hideMark/>
          </w:tcPr>
          <w:p w14:paraId="1DDF4DC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1.05</w:t>
            </w:r>
          </w:p>
        </w:tc>
        <w:tc>
          <w:tcPr>
            <w:tcW w:w="960" w:type="dxa"/>
            <w:noWrap/>
            <w:hideMark/>
          </w:tcPr>
          <w:p w14:paraId="1AB87F4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0.952</w:t>
            </w:r>
          </w:p>
        </w:tc>
      </w:tr>
      <w:tr w:rsidR="0080564B" w:rsidRPr="0080564B" w14:paraId="18939A22" w14:textId="77777777" w:rsidTr="0080564B">
        <w:trPr>
          <w:trHeight w:val="315"/>
        </w:trPr>
        <w:tc>
          <w:tcPr>
            <w:tcW w:w="1024" w:type="dxa"/>
            <w:noWrap/>
            <w:hideMark/>
          </w:tcPr>
          <w:p w14:paraId="35FB664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c>
          <w:tcPr>
            <w:tcW w:w="960" w:type="dxa"/>
            <w:noWrap/>
            <w:hideMark/>
          </w:tcPr>
          <w:p w14:paraId="0890038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1.02</w:t>
            </w:r>
          </w:p>
        </w:tc>
        <w:tc>
          <w:tcPr>
            <w:tcW w:w="960" w:type="dxa"/>
            <w:noWrap/>
            <w:hideMark/>
          </w:tcPr>
          <w:p w14:paraId="17E3C89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0.98</w:t>
            </w:r>
          </w:p>
        </w:tc>
      </w:tr>
      <w:tr w:rsidR="0080564B" w:rsidRPr="0080564B" w14:paraId="08292212" w14:textId="77777777" w:rsidTr="0080564B">
        <w:trPr>
          <w:trHeight w:val="330"/>
        </w:trPr>
        <w:tc>
          <w:tcPr>
            <w:tcW w:w="1024" w:type="dxa"/>
            <w:noWrap/>
            <w:hideMark/>
          </w:tcPr>
          <w:p w14:paraId="718CCA3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Mean VIF</w:t>
            </w:r>
          </w:p>
        </w:tc>
        <w:tc>
          <w:tcPr>
            <w:tcW w:w="960" w:type="dxa"/>
            <w:noWrap/>
            <w:hideMark/>
          </w:tcPr>
          <w:p w14:paraId="41358A5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1.05</w:t>
            </w:r>
          </w:p>
        </w:tc>
        <w:tc>
          <w:tcPr>
            <w:tcW w:w="960" w:type="dxa"/>
            <w:noWrap/>
            <w:hideMark/>
          </w:tcPr>
          <w:p w14:paraId="3E095C5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 </w:t>
            </w:r>
          </w:p>
        </w:tc>
      </w:tr>
    </w:tbl>
    <w:p w14:paraId="2D0CCE8D"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Stata 13 output</w:t>
      </w:r>
    </w:p>
    <w:p w14:paraId="5F5CD209"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VIF test results in Table 5 reveal that the mean Variance Inflation Factor (VIF) is 1.05, indicating the absence of multicollinearity among the explanatory variables; since the value is far below the threshold of 10, the independent variables are not highly correlated with one another</w:t>
      </w:r>
    </w:p>
    <w:p w14:paraId="06F282CF"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lastRenderedPageBreak/>
        <w:t>Table 6</w:t>
      </w:r>
    </w:p>
    <w:p w14:paraId="2090E304"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Diagnostic Tests</w:t>
      </w:r>
    </w:p>
    <w:tbl>
      <w:tblPr>
        <w:tblW w:w="514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990"/>
        <w:gridCol w:w="960"/>
      </w:tblGrid>
      <w:tr w:rsidR="0080564B" w:rsidRPr="0080564B" w14:paraId="031E34D2" w14:textId="77777777" w:rsidTr="0080564B">
        <w:trPr>
          <w:trHeight w:val="330"/>
        </w:trPr>
        <w:tc>
          <w:tcPr>
            <w:tcW w:w="3223" w:type="dxa"/>
            <w:noWrap/>
            <w:hideMark/>
          </w:tcPr>
          <w:p w14:paraId="7161E38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Test</w:t>
            </w:r>
          </w:p>
        </w:tc>
        <w:tc>
          <w:tcPr>
            <w:tcW w:w="960" w:type="dxa"/>
            <w:noWrap/>
            <w:hideMark/>
          </w:tcPr>
          <w:p w14:paraId="53635C8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Statistic</w:t>
            </w:r>
          </w:p>
        </w:tc>
        <w:tc>
          <w:tcPr>
            <w:tcW w:w="960" w:type="dxa"/>
            <w:noWrap/>
            <w:hideMark/>
          </w:tcPr>
          <w:p w14:paraId="25E2A69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P-value</w:t>
            </w:r>
          </w:p>
        </w:tc>
      </w:tr>
      <w:tr w:rsidR="0080564B" w:rsidRPr="0080564B" w14:paraId="26B537C7" w14:textId="77777777" w:rsidTr="0080564B">
        <w:trPr>
          <w:trHeight w:val="315"/>
        </w:trPr>
        <w:tc>
          <w:tcPr>
            <w:tcW w:w="3223" w:type="dxa"/>
            <w:noWrap/>
            <w:hideMark/>
          </w:tcPr>
          <w:p w14:paraId="38DD0BB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Heteroskedasticity (chi-square)</w:t>
            </w:r>
          </w:p>
        </w:tc>
        <w:tc>
          <w:tcPr>
            <w:tcW w:w="960" w:type="dxa"/>
            <w:noWrap/>
            <w:hideMark/>
          </w:tcPr>
          <w:p w14:paraId="13176AD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0.26</w:t>
            </w:r>
          </w:p>
        </w:tc>
        <w:tc>
          <w:tcPr>
            <w:tcW w:w="960" w:type="dxa"/>
            <w:noWrap/>
            <w:hideMark/>
          </w:tcPr>
          <w:p w14:paraId="046B62A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0.612</w:t>
            </w:r>
          </w:p>
        </w:tc>
      </w:tr>
      <w:tr w:rsidR="0080564B" w:rsidRPr="0080564B" w14:paraId="7F43B6E9" w14:textId="77777777" w:rsidTr="0080564B">
        <w:trPr>
          <w:trHeight w:val="315"/>
        </w:trPr>
        <w:tc>
          <w:tcPr>
            <w:tcW w:w="3223" w:type="dxa"/>
            <w:noWrap/>
            <w:hideMark/>
          </w:tcPr>
          <w:p w14:paraId="1129983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Xttest0 (LM test for panel effect)</w:t>
            </w:r>
          </w:p>
        </w:tc>
        <w:tc>
          <w:tcPr>
            <w:tcW w:w="960" w:type="dxa"/>
            <w:noWrap/>
            <w:hideMark/>
          </w:tcPr>
          <w:p w14:paraId="03C18EC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0.03</w:t>
            </w:r>
          </w:p>
        </w:tc>
        <w:tc>
          <w:tcPr>
            <w:tcW w:w="960" w:type="dxa"/>
            <w:noWrap/>
            <w:hideMark/>
          </w:tcPr>
          <w:p w14:paraId="338E905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0.024</w:t>
            </w:r>
          </w:p>
        </w:tc>
      </w:tr>
      <w:tr w:rsidR="0080564B" w:rsidRPr="0080564B" w14:paraId="46BEF57F" w14:textId="77777777" w:rsidTr="0080564B">
        <w:trPr>
          <w:trHeight w:val="330"/>
        </w:trPr>
        <w:tc>
          <w:tcPr>
            <w:tcW w:w="3223" w:type="dxa"/>
            <w:noWrap/>
            <w:hideMark/>
          </w:tcPr>
          <w:p w14:paraId="63CD050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Hausman Test</w:t>
            </w:r>
          </w:p>
        </w:tc>
        <w:tc>
          <w:tcPr>
            <w:tcW w:w="960" w:type="dxa"/>
            <w:noWrap/>
            <w:hideMark/>
          </w:tcPr>
          <w:p w14:paraId="4B46A51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2.82</w:t>
            </w:r>
          </w:p>
        </w:tc>
        <w:tc>
          <w:tcPr>
            <w:tcW w:w="960" w:type="dxa"/>
            <w:noWrap/>
            <w:hideMark/>
          </w:tcPr>
          <w:p w14:paraId="70389BD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0.832</w:t>
            </w:r>
          </w:p>
        </w:tc>
      </w:tr>
    </w:tbl>
    <w:p w14:paraId="26DCEF1E" w14:textId="77777777" w:rsidR="0080564B" w:rsidRPr="0080564B" w:rsidRDefault="0080564B" w:rsidP="00E608DA">
      <w:pPr>
        <w:spacing w:before="240" w:after="240" w:line="240" w:lineRule="auto"/>
        <w:jc w:val="both"/>
        <w:rPr>
          <w:rFonts w:ascii="Times New Roman" w:hAnsi="Times New Roman"/>
          <w:sz w:val="24"/>
          <w:szCs w:val="24"/>
        </w:rPr>
      </w:pPr>
      <w:r w:rsidRPr="0080564B">
        <w:rPr>
          <w:rFonts w:ascii="Times New Roman" w:hAnsi="Times New Roman"/>
          <w:sz w:val="24"/>
          <w:szCs w:val="24"/>
        </w:rPr>
        <w:t xml:space="preserve">The heteroskedasticity test reports a chi-square statistic of 0.26 and a p-value of 0.612. Because the p-value exceeds 0.05, the null hypothesis of homoskedasticity cannot be rejected. Thus, there is no evidence of heteroskedasticity, and the model estimates can be considered reliable. The Lagrange Multiplier test for panel effects reports a statistic of 0.03 and a p-value of 0.024. Since the p-value is below 0.05, the null hypothesis of no panel effects is rejected. This confirms the presence of significant panel effects and supports the use of a panel-data model rather than pooled regression. The Hausman test reports a chi-square statistic of 2.82 and a p-value of 0.832. Because the p-value exceeds 0.05, the null hypothesis </w:t>
      </w:r>
      <w:proofErr w:type="spellStart"/>
      <w:r w:rsidRPr="0080564B">
        <w:rPr>
          <w:rFonts w:ascii="Times New Roman" w:hAnsi="Times New Roman"/>
          <w:sz w:val="24"/>
          <w:szCs w:val="24"/>
        </w:rPr>
        <w:t>favouring</w:t>
      </w:r>
      <w:proofErr w:type="spellEnd"/>
      <w:r w:rsidRPr="0080564B">
        <w:rPr>
          <w:rFonts w:ascii="Times New Roman" w:hAnsi="Times New Roman"/>
          <w:sz w:val="24"/>
          <w:szCs w:val="24"/>
        </w:rPr>
        <w:t xml:space="preserve"> the random-effects model cannot be rejected. Therefore, the random-effects model is more appropriate than the fixed-effects model, assuming that the individual effects are uncorrelated with the explanatory variables.</w:t>
      </w:r>
    </w:p>
    <w:p w14:paraId="04CE0D8C"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Table 7</w:t>
      </w:r>
    </w:p>
    <w:p w14:paraId="6FEA577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 xml:space="preserve">Regression Results </w:t>
      </w:r>
    </w:p>
    <w:tbl>
      <w:tblPr>
        <w:tblW w:w="76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852"/>
        <w:gridCol w:w="1068"/>
        <w:gridCol w:w="960"/>
        <w:gridCol w:w="944"/>
        <w:gridCol w:w="1109"/>
        <w:gridCol w:w="827"/>
      </w:tblGrid>
      <w:tr w:rsidR="0080564B" w:rsidRPr="0080564B" w14:paraId="419DFFDD" w14:textId="77777777" w:rsidTr="0080564B">
        <w:trPr>
          <w:trHeight w:val="330"/>
        </w:trPr>
        <w:tc>
          <w:tcPr>
            <w:tcW w:w="1917" w:type="dxa"/>
            <w:vMerge w:val="restart"/>
            <w:noWrap/>
            <w:hideMark/>
          </w:tcPr>
          <w:p w14:paraId="0C29BB56"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ROE</w:t>
            </w:r>
          </w:p>
        </w:tc>
        <w:tc>
          <w:tcPr>
            <w:tcW w:w="1920" w:type="dxa"/>
            <w:gridSpan w:val="2"/>
            <w:noWrap/>
            <w:hideMark/>
          </w:tcPr>
          <w:p w14:paraId="38047CBA"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Mode1</w:t>
            </w:r>
          </w:p>
        </w:tc>
        <w:tc>
          <w:tcPr>
            <w:tcW w:w="960" w:type="dxa"/>
            <w:noWrap/>
            <w:hideMark/>
          </w:tcPr>
          <w:p w14:paraId="1F31C509"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 </w:t>
            </w:r>
          </w:p>
        </w:tc>
        <w:tc>
          <w:tcPr>
            <w:tcW w:w="2880" w:type="dxa"/>
            <w:gridSpan w:val="3"/>
            <w:noWrap/>
            <w:hideMark/>
          </w:tcPr>
          <w:p w14:paraId="5360BF76"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Model 2</w:t>
            </w:r>
          </w:p>
        </w:tc>
      </w:tr>
      <w:tr w:rsidR="0080564B" w:rsidRPr="0080564B" w14:paraId="560D9AC3" w14:textId="77777777" w:rsidTr="0080564B">
        <w:trPr>
          <w:trHeight w:val="330"/>
        </w:trPr>
        <w:tc>
          <w:tcPr>
            <w:tcW w:w="1917" w:type="dxa"/>
            <w:vMerge/>
            <w:vAlign w:val="center"/>
            <w:hideMark/>
          </w:tcPr>
          <w:p w14:paraId="656D8DA3" w14:textId="77777777" w:rsidR="0080564B" w:rsidRPr="0080564B" w:rsidRDefault="0080564B" w:rsidP="0080564B">
            <w:pPr>
              <w:spacing w:after="0" w:line="240" w:lineRule="auto"/>
              <w:rPr>
                <w:rFonts w:ascii="Times New Roman" w:eastAsia="Times New Roman" w:hAnsi="Times New Roman"/>
                <w:b/>
                <w:bCs/>
                <w:color w:val="000000"/>
                <w:sz w:val="24"/>
                <w:szCs w:val="24"/>
              </w:rPr>
            </w:pPr>
          </w:p>
        </w:tc>
        <w:tc>
          <w:tcPr>
            <w:tcW w:w="852" w:type="dxa"/>
            <w:noWrap/>
            <w:hideMark/>
          </w:tcPr>
          <w:p w14:paraId="36DF8394"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Coef.</w:t>
            </w:r>
          </w:p>
        </w:tc>
        <w:tc>
          <w:tcPr>
            <w:tcW w:w="1068" w:type="dxa"/>
            <w:noWrap/>
            <w:hideMark/>
          </w:tcPr>
          <w:p w14:paraId="37C784AE"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z-value</w:t>
            </w:r>
          </w:p>
        </w:tc>
        <w:tc>
          <w:tcPr>
            <w:tcW w:w="960" w:type="dxa"/>
            <w:noWrap/>
            <w:hideMark/>
          </w:tcPr>
          <w:p w14:paraId="7C39DEB9"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P&gt;|z|</w:t>
            </w:r>
          </w:p>
        </w:tc>
        <w:tc>
          <w:tcPr>
            <w:tcW w:w="944" w:type="dxa"/>
            <w:noWrap/>
            <w:hideMark/>
          </w:tcPr>
          <w:p w14:paraId="53226567"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Coef.</w:t>
            </w:r>
          </w:p>
        </w:tc>
        <w:tc>
          <w:tcPr>
            <w:tcW w:w="1109" w:type="dxa"/>
            <w:noWrap/>
            <w:hideMark/>
          </w:tcPr>
          <w:p w14:paraId="6999068B"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z-value</w:t>
            </w:r>
          </w:p>
        </w:tc>
        <w:tc>
          <w:tcPr>
            <w:tcW w:w="827" w:type="dxa"/>
            <w:noWrap/>
            <w:hideMark/>
          </w:tcPr>
          <w:p w14:paraId="2E9CF271" w14:textId="77777777" w:rsidR="0080564B" w:rsidRPr="0080564B" w:rsidRDefault="0080564B" w:rsidP="0080564B">
            <w:pPr>
              <w:spacing w:after="0" w:line="240" w:lineRule="auto"/>
              <w:rPr>
                <w:rFonts w:ascii="Times New Roman" w:eastAsia="Times New Roman" w:hAnsi="Times New Roman"/>
                <w:b/>
                <w:bCs/>
                <w:color w:val="000000"/>
                <w:sz w:val="24"/>
                <w:szCs w:val="24"/>
              </w:rPr>
            </w:pPr>
            <w:r w:rsidRPr="0080564B">
              <w:rPr>
                <w:rFonts w:ascii="Times New Roman" w:eastAsia="Times New Roman" w:hAnsi="Times New Roman"/>
                <w:b/>
                <w:bCs/>
                <w:color w:val="000000"/>
                <w:sz w:val="24"/>
                <w:szCs w:val="24"/>
              </w:rPr>
              <w:t>P&gt;|z|</w:t>
            </w:r>
          </w:p>
        </w:tc>
      </w:tr>
      <w:tr w:rsidR="0080564B" w:rsidRPr="0080564B" w14:paraId="4403B1E8" w14:textId="77777777" w:rsidTr="0080564B">
        <w:trPr>
          <w:trHeight w:val="315"/>
        </w:trPr>
        <w:tc>
          <w:tcPr>
            <w:tcW w:w="1917" w:type="dxa"/>
            <w:noWrap/>
            <w:hideMark/>
          </w:tcPr>
          <w:p w14:paraId="62F7102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w:t>
            </w:r>
          </w:p>
        </w:tc>
        <w:tc>
          <w:tcPr>
            <w:tcW w:w="852" w:type="dxa"/>
            <w:noWrap/>
            <w:hideMark/>
          </w:tcPr>
          <w:p w14:paraId="3B33251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0.232</w:t>
            </w:r>
          </w:p>
        </w:tc>
        <w:tc>
          <w:tcPr>
            <w:tcW w:w="1068" w:type="dxa"/>
            <w:noWrap/>
            <w:hideMark/>
          </w:tcPr>
          <w:p w14:paraId="3422F8C3"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3CAE320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0.004</w:t>
            </w:r>
          </w:p>
        </w:tc>
        <w:tc>
          <w:tcPr>
            <w:tcW w:w="944" w:type="dxa"/>
            <w:noWrap/>
            <w:hideMark/>
          </w:tcPr>
          <w:p w14:paraId="01C1DA3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-0.061</w:t>
            </w:r>
          </w:p>
        </w:tc>
        <w:tc>
          <w:tcPr>
            <w:tcW w:w="1109" w:type="dxa"/>
            <w:noWrap/>
            <w:hideMark/>
          </w:tcPr>
          <w:p w14:paraId="04DD0EC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-2.02</w:t>
            </w:r>
          </w:p>
        </w:tc>
        <w:tc>
          <w:tcPr>
            <w:tcW w:w="827" w:type="dxa"/>
            <w:noWrap/>
            <w:hideMark/>
          </w:tcPr>
          <w:p w14:paraId="2F8CB4E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0.046</w:t>
            </w:r>
          </w:p>
        </w:tc>
      </w:tr>
      <w:tr w:rsidR="0080564B" w:rsidRPr="0080564B" w14:paraId="6F94E5C4" w14:textId="77777777" w:rsidTr="0080564B">
        <w:trPr>
          <w:trHeight w:val="315"/>
        </w:trPr>
        <w:tc>
          <w:tcPr>
            <w:tcW w:w="1917" w:type="dxa"/>
            <w:noWrap/>
            <w:hideMark/>
          </w:tcPr>
          <w:p w14:paraId="5CCCF93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w:t>
            </w:r>
          </w:p>
        </w:tc>
        <w:tc>
          <w:tcPr>
            <w:tcW w:w="852" w:type="dxa"/>
            <w:noWrap/>
            <w:hideMark/>
          </w:tcPr>
          <w:p w14:paraId="3E82AD8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0.034</w:t>
            </w:r>
          </w:p>
        </w:tc>
        <w:tc>
          <w:tcPr>
            <w:tcW w:w="1068" w:type="dxa"/>
            <w:noWrap/>
            <w:hideMark/>
          </w:tcPr>
          <w:p w14:paraId="364793AB"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72F8E47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0.012</w:t>
            </w:r>
          </w:p>
        </w:tc>
        <w:tc>
          <w:tcPr>
            <w:tcW w:w="944" w:type="dxa"/>
            <w:noWrap/>
            <w:hideMark/>
          </w:tcPr>
          <w:p w14:paraId="516228F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0.374</w:t>
            </w:r>
          </w:p>
        </w:tc>
        <w:tc>
          <w:tcPr>
            <w:tcW w:w="1109" w:type="dxa"/>
            <w:noWrap/>
            <w:hideMark/>
          </w:tcPr>
          <w:p w14:paraId="3DCA3CF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2.91</w:t>
            </w:r>
          </w:p>
        </w:tc>
        <w:tc>
          <w:tcPr>
            <w:tcW w:w="827" w:type="dxa"/>
            <w:noWrap/>
            <w:hideMark/>
          </w:tcPr>
          <w:p w14:paraId="129169C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0.004</w:t>
            </w:r>
          </w:p>
        </w:tc>
      </w:tr>
      <w:tr w:rsidR="0080564B" w:rsidRPr="0080564B" w14:paraId="773398B2" w14:textId="77777777" w:rsidTr="0080564B">
        <w:trPr>
          <w:trHeight w:val="315"/>
        </w:trPr>
        <w:tc>
          <w:tcPr>
            <w:tcW w:w="1917" w:type="dxa"/>
            <w:noWrap/>
            <w:hideMark/>
          </w:tcPr>
          <w:p w14:paraId="3E3F798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FAGE</w:t>
            </w:r>
          </w:p>
        </w:tc>
        <w:tc>
          <w:tcPr>
            <w:tcW w:w="852" w:type="dxa"/>
            <w:noWrap/>
            <w:hideMark/>
          </w:tcPr>
          <w:p w14:paraId="2426FF0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0.098</w:t>
            </w:r>
          </w:p>
        </w:tc>
        <w:tc>
          <w:tcPr>
            <w:tcW w:w="1068" w:type="dxa"/>
            <w:noWrap/>
            <w:hideMark/>
          </w:tcPr>
          <w:p w14:paraId="07134D9F"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0A95939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0.045</w:t>
            </w:r>
          </w:p>
        </w:tc>
        <w:tc>
          <w:tcPr>
            <w:tcW w:w="944" w:type="dxa"/>
            <w:noWrap/>
            <w:hideMark/>
          </w:tcPr>
          <w:p w14:paraId="274B147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0.001</w:t>
            </w:r>
          </w:p>
        </w:tc>
        <w:tc>
          <w:tcPr>
            <w:tcW w:w="1109" w:type="dxa"/>
            <w:noWrap/>
            <w:hideMark/>
          </w:tcPr>
          <w:p w14:paraId="065CFD9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0.98</w:t>
            </w:r>
          </w:p>
        </w:tc>
        <w:tc>
          <w:tcPr>
            <w:tcW w:w="827" w:type="dxa"/>
            <w:noWrap/>
            <w:hideMark/>
          </w:tcPr>
          <w:p w14:paraId="3878391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0.327</w:t>
            </w:r>
          </w:p>
        </w:tc>
      </w:tr>
      <w:tr w:rsidR="0080564B" w:rsidRPr="0080564B" w14:paraId="5DE6276D" w14:textId="77777777" w:rsidTr="0080564B">
        <w:trPr>
          <w:trHeight w:val="315"/>
        </w:trPr>
        <w:tc>
          <w:tcPr>
            <w:tcW w:w="2769" w:type="dxa"/>
            <w:gridSpan w:val="2"/>
            <w:noWrap/>
            <w:hideMark/>
          </w:tcPr>
          <w:p w14:paraId="1175E758"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FCEO*FAGE</w:t>
            </w:r>
          </w:p>
        </w:tc>
        <w:tc>
          <w:tcPr>
            <w:tcW w:w="1068" w:type="dxa"/>
            <w:noWrap/>
            <w:hideMark/>
          </w:tcPr>
          <w:p w14:paraId="7338C60D"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6412CB92"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44" w:type="dxa"/>
            <w:noWrap/>
            <w:hideMark/>
          </w:tcPr>
          <w:p w14:paraId="40187AC7"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0.022</w:t>
            </w:r>
          </w:p>
        </w:tc>
        <w:tc>
          <w:tcPr>
            <w:tcW w:w="1109" w:type="dxa"/>
            <w:noWrap/>
            <w:hideMark/>
          </w:tcPr>
          <w:p w14:paraId="062AFCD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2.17</w:t>
            </w:r>
          </w:p>
        </w:tc>
        <w:tc>
          <w:tcPr>
            <w:tcW w:w="827" w:type="dxa"/>
            <w:noWrap/>
            <w:hideMark/>
          </w:tcPr>
          <w:p w14:paraId="3A33523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0.032</w:t>
            </w:r>
          </w:p>
        </w:tc>
      </w:tr>
      <w:tr w:rsidR="0080564B" w:rsidRPr="0080564B" w14:paraId="6D5E0731" w14:textId="77777777" w:rsidTr="0080564B">
        <w:trPr>
          <w:trHeight w:val="315"/>
        </w:trPr>
        <w:tc>
          <w:tcPr>
            <w:tcW w:w="2769" w:type="dxa"/>
            <w:gridSpan w:val="2"/>
            <w:noWrap/>
            <w:hideMark/>
          </w:tcPr>
          <w:p w14:paraId="61836ED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FDIR*FAGE</w:t>
            </w:r>
          </w:p>
        </w:tc>
        <w:tc>
          <w:tcPr>
            <w:tcW w:w="1068" w:type="dxa"/>
            <w:noWrap/>
            <w:hideMark/>
          </w:tcPr>
          <w:p w14:paraId="0A3F2930"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341BC113"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44" w:type="dxa"/>
            <w:noWrap/>
            <w:hideMark/>
          </w:tcPr>
          <w:p w14:paraId="27CAB6F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-0.012</w:t>
            </w:r>
          </w:p>
        </w:tc>
        <w:tc>
          <w:tcPr>
            <w:tcW w:w="1109" w:type="dxa"/>
            <w:noWrap/>
            <w:hideMark/>
          </w:tcPr>
          <w:p w14:paraId="26D9088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-2.4</w:t>
            </w:r>
          </w:p>
        </w:tc>
        <w:tc>
          <w:tcPr>
            <w:tcW w:w="827" w:type="dxa"/>
            <w:noWrap/>
            <w:hideMark/>
          </w:tcPr>
          <w:p w14:paraId="6F28053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0.016</w:t>
            </w:r>
          </w:p>
        </w:tc>
      </w:tr>
      <w:tr w:rsidR="0080564B" w:rsidRPr="0080564B" w14:paraId="7D4BED13" w14:textId="77777777" w:rsidTr="0080564B">
        <w:trPr>
          <w:trHeight w:val="315"/>
        </w:trPr>
        <w:tc>
          <w:tcPr>
            <w:tcW w:w="1917" w:type="dxa"/>
            <w:noWrap/>
            <w:hideMark/>
          </w:tcPr>
          <w:p w14:paraId="4B46E3C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FSZE</w:t>
            </w:r>
          </w:p>
        </w:tc>
        <w:tc>
          <w:tcPr>
            <w:tcW w:w="852" w:type="dxa"/>
            <w:noWrap/>
            <w:hideMark/>
          </w:tcPr>
          <w:p w14:paraId="799C2DD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0.345</w:t>
            </w:r>
          </w:p>
        </w:tc>
        <w:tc>
          <w:tcPr>
            <w:tcW w:w="1068" w:type="dxa"/>
            <w:noWrap/>
            <w:hideMark/>
          </w:tcPr>
          <w:p w14:paraId="7796886F"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64FCFE89"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0.459</w:t>
            </w:r>
          </w:p>
        </w:tc>
        <w:tc>
          <w:tcPr>
            <w:tcW w:w="944" w:type="dxa"/>
            <w:noWrap/>
            <w:hideMark/>
          </w:tcPr>
          <w:p w14:paraId="58BDC37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0.007</w:t>
            </w:r>
          </w:p>
        </w:tc>
        <w:tc>
          <w:tcPr>
            <w:tcW w:w="1109" w:type="dxa"/>
            <w:noWrap/>
            <w:hideMark/>
          </w:tcPr>
          <w:p w14:paraId="03012D3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1.49</w:t>
            </w:r>
          </w:p>
        </w:tc>
        <w:tc>
          <w:tcPr>
            <w:tcW w:w="827" w:type="dxa"/>
            <w:noWrap/>
            <w:hideMark/>
          </w:tcPr>
          <w:p w14:paraId="5F3131AF"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0.137</w:t>
            </w:r>
          </w:p>
        </w:tc>
      </w:tr>
      <w:tr w:rsidR="0080564B" w:rsidRPr="0080564B" w14:paraId="2D8C3AD4" w14:textId="77777777" w:rsidTr="0080564B">
        <w:trPr>
          <w:trHeight w:val="315"/>
        </w:trPr>
        <w:tc>
          <w:tcPr>
            <w:tcW w:w="1917" w:type="dxa"/>
            <w:noWrap/>
            <w:hideMark/>
          </w:tcPr>
          <w:p w14:paraId="64D2F55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_cons</w:t>
            </w:r>
          </w:p>
        </w:tc>
        <w:tc>
          <w:tcPr>
            <w:tcW w:w="852" w:type="dxa"/>
            <w:noWrap/>
            <w:hideMark/>
          </w:tcPr>
          <w:p w14:paraId="0C1A621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0.118</w:t>
            </w:r>
          </w:p>
        </w:tc>
        <w:tc>
          <w:tcPr>
            <w:tcW w:w="1068" w:type="dxa"/>
            <w:noWrap/>
            <w:hideMark/>
          </w:tcPr>
          <w:p w14:paraId="6B311C1C"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56105AA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0.005</w:t>
            </w:r>
          </w:p>
        </w:tc>
        <w:tc>
          <w:tcPr>
            <w:tcW w:w="944" w:type="dxa"/>
            <w:noWrap/>
            <w:hideMark/>
          </w:tcPr>
          <w:p w14:paraId="4C71A11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0.104</w:t>
            </w:r>
          </w:p>
        </w:tc>
        <w:tc>
          <w:tcPr>
            <w:tcW w:w="1109" w:type="dxa"/>
            <w:noWrap/>
            <w:hideMark/>
          </w:tcPr>
          <w:p w14:paraId="3E3DB796"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2.74</w:t>
            </w:r>
          </w:p>
        </w:tc>
        <w:tc>
          <w:tcPr>
            <w:tcW w:w="827" w:type="dxa"/>
            <w:noWrap/>
            <w:hideMark/>
          </w:tcPr>
          <w:p w14:paraId="60B8D33A"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0.006</w:t>
            </w:r>
          </w:p>
        </w:tc>
      </w:tr>
      <w:tr w:rsidR="0080564B" w:rsidRPr="0080564B" w14:paraId="418291E7" w14:textId="77777777" w:rsidTr="0080564B">
        <w:trPr>
          <w:trHeight w:val="315"/>
        </w:trPr>
        <w:tc>
          <w:tcPr>
            <w:tcW w:w="1917" w:type="dxa"/>
            <w:noWrap/>
            <w:hideMark/>
          </w:tcPr>
          <w:p w14:paraId="77B999EC"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Obs.</w:t>
            </w:r>
          </w:p>
        </w:tc>
        <w:tc>
          <w:tcPr>
            <w:tcW w:w="852" w:type="dxa"/>
            <w:noWrap/>
            <w:hideMark/>
          </w:tcPr>
          <w:p w14:paraId="2652FACE"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1068" w:type="dxa"/>
            <w:noWrap/>
            <w:hideMark/>
          </w:tcPr>
          <w:p w14:paraId="586C8547"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5641E9D4"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44" w:type="dxa"/>
            <w:noWrap/>
            <w:hideMark/>
          </w:tcPr>
          <w:p w14:paraId="39B45F94"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140</w:t>
            </w:r>
          </w:p>
        </w:tc>
        <w:tc>
          <w:tcPr>
            <w:tcW w:w="1109" w:type="dxa"/>
            <w:noWrap/>
            <w:hideMark/>
          </w:tcPr>
          <w:p w14:paraId="57C38A61"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827" w:type="dxa"/>
            <w:noWrap/>
            <w:hideMark/>
          </w:tcPr>
          <w:p w14:paraId="03A08E5F"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226EDACD" w14:textId="77777777" w:rsidTr="0080564B">
        <w:trPr>
          <w:trHeight w:val="315"/>
        </w:trPr>
        <w:tc>
          <w:tcPr>
            <w:tcW w:w="1917" w:type="dxa"/>
            <w:noWrap/>
            <w:hideMark/>
          </w:tcPr>
          <w:p w14:paraId="4924180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R-squared</w:t>
            </w:r>
          </w:p>
        </w:tc>
        <w:tc>
          <w:tcPr>
            <w:tcW w:w="852" w:type="dxa"/>
            <w:noWrap/>
            <w:hideMark/>
          </w:tcPr>
          <w:p w14:paraId="08BA4E23"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0.39</w:t>
            </w:r>
          </w:p>
        </w:tc>
        <w:tc>
          <w:tcPr>
            <w:tcW w:w="1068" w:type="dxa"/>
            <w:noWrap/>
            <w:hideMark/>
          </w:tcPr>
          <w:p w14:paraId="6E5451C7"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60" w:type="dxa"/>
            <w:noWrap/>
            <w:hideMark/>
          </w:tcPr>
          <w:p w14:paraId="33D240EC"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944" w:type="dxa"/>
            <w:noWrap/>
            <w:hideMark/>
          </w:tcPr>
          <w:p w14:paraId="24115A81"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0.375</w:t>
            </w:r>
          </w:p>
        </w:tc>
        <w:tc>
          <w:tcPr>
            <w:tcW w:w="1109" w:type="dxa"/>
            <w:noWrap/>
            <w:hideMark/>
          </w:tcPr>
          <w:p w14:paraId="48C9C641" w14:textId="77777777" w:rsidR="0080564B" w:rsidRPr="0080564B" w:rsidRDefault="0080564B" w:rsidP="0080564B">
            <w:pPr>
              <w:spacing w:after="0" w:line="240" w:lineRule="auto"/>
              <w:rPr>
                <w:rFonts w:ascii="Times New Roman" w:eastAsia="Times New Roman" w:hAnsi="Times New Roman"/>
                <w:color w:val="000000"/>
                <w:sz w:val="24"/>
                <w:szCs w:val="24"/>
              </w:rPr>
            </w:pPr>
          </w:p>
        </w:tc>
        <w:tc>
          <w:tcPr>
            <w:tcW w:w="827" w:type="dxa"/>
            <w:noWrap/>
            <w:hideMark/>
          </w:tcPr>
          <w:p w14:paraId="7FC778B6" w14:textId="77777777" w:rsidR="0080564B" w:rsidRPr="0080564B" w:rsidRDefault="0080564B" w:rsidP="0080564B">
            <w:pPr>
              <w:spacing w:after="0" w:line="240" w:lineRule="auto"/>
              <w:rPr>
                <w:rFonts w:ascii="Times New Roman" w:eastAsia="Times New Roman" w:hAnsi="Times New Roman"/>
                <w:color w:val="000000"/>
                <w:sz w:val="24"/>
                <w:szCs w:val="24"/>
              </w:rPr>
            </w:pPr>
          </w:p>
        </w:tc>
      </w:tr>
      <w:tr w:rsidR="0080564B" w:rsidRPr="0080564B" w14:paraId="676E6CDD" w14:textId="77777777" w:rsidTr="0080564B">
        <w:trPr>
          <w:trHeight w:val="330"/>
        </w:trPr>
        <w:tc>
          <w:tcPr>
            <w:tcW w:w="1917" w:type="dxa"/>
            <w:noWrap/>
            <w:hideMark/>
          </w:tcPr>
          <w:p w14:paraId="11CCA78B"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F-statistic (p-value)</w:t>
            </w:r>
          </w:p>
        </w:tc>
        <w:tc>
          <w:tcPr>
            <w:tcW w:w="852" w:type="dxa"/>
            <w:noWrap/>
            <w:hideMark/>
          </w:tcPr>
          <w:p w14:paraId="73443465"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0.032</w:t>
            </w:r>
            <w:r w:rsidRPr="0080564B">
              <w:rPr>
                <w:rFonts w:ascii="Times New Roman" w:eastAsia="Times New Roman" w:hAnsi="Times New Roman"/>
                <w:color w:val="000000"/>
                <w:sz w:val="16"/>
                <w:szCs w:val="16"/>
              </w:rPr>
              <w:t> </w:t>
            </w:r>
          </w:p>
        </w:tc>
        <w:tc>
          <w:tcPr>
            <w:tcW w:w="1068" w:type="dxa"/>
            <w:noWrap/>
            <w:hideMark/>
          </w:tcPr>
          <w:p w14:paraId="1A9AE9AD"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 </w:t>
            </w:r>
          </w:p>
        </w:tc>
        <w:tc>
          <w:tcPr>
            <w:tcW w:w="960" w:type="dxa"/>
            <w:noWrap/>
            <w:hideMark/>
          </w:tcPr>
          <w:p w14:paraId="4403436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 </w:t>
            </w:r>
          </w:p>
        </w:tc>
        <w:tc>
          <w:tcPr>
            <w:tcW w:w="944" w:type="dxa"/>
            <w:noWrap/>
            <w:hideMark/>
          </w:tcPr>
          <w:p w14:paraId="4C3C9630"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0.006</w:t>
            </w:r>
          </w:p>
        </w:tc>
        <w:tc>
          <w:tcPr>
            <w:tcW w:w="1109" w:type="dxa"/>
            <w:noWrap/>
            <w:hideMark/>
          </w:tcPr>
          <w:p w14:paraId="4B5A80E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 </w:t>
            </w:r>
          </w:p>
        </w:tc>
        <w:tc>
          <w:tcPr>
            <w:tcW w:w="827" w:type="dxa"/>
            <w:noWrap/>
            <w:hideMark/>
          </w:tcPr>
          <w:p w14:paraId="6A0F48F2" w14:textId="77777777" w:rsidR="0080564B" w:rsidRPr="0080564B" w:rsidRDefault="0080564B" w:rsidP="0080564B">
            <w:pPr>
              <w:spacing w:after="0" w:line="240" w:lineRule="auto"/>
              <w:rPr>
                <w:rFonts w:ascii="Times New Roman" w:eastAsia="Times New Roman" w:hAnsi="Times New Roman"/>
                <w:color w:val="000000"/>
                <w:sz w:val="24"/>
                <w:szCs w:val="24"/>
              </w:rPr>
            </w:pPr>
            <w:r w:rsidRPr="0080564B">
              <w:rPr>
                <w:rFonts w:ascii="Times New Roman" w:eastAsia="Times New Roman" w:hAnsi="Times New Roman"/>
                <w:color w:val="000000"/>
                <w:sz w:val="24"/>
                <w:szCs w:val="24"/>
              </w:rPr>
              <w:t> </w:t>
            </w:r>
          </w:p>
        </w:tc>
      </w:tr>
    </w:tbl>
    <w:p w14:paraId="12534B48"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Source: Stata 13 Output</w:t>
      </w:r>
    </w:p>
    <w:p w14:paraId="207BB956"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coefficient of female CEOs is -0.061, with a p-value of 0.046, indicating statistical significance at the 5% level. This result suggests that, holding other factors constant, banks led by female CEOs tend to report lower returns on equity than banks led by male CEOs. However, the magnitude of the effect is relatively small. The finding may reflect the structural and institutional challenges faced by female CEOs in the Nigerian banking sector rather than inefficiency in leadership. It is consistent with the findings of Bavik et al., although it contradicts (Milojević, 2023).</w:t>
      </w:r>
    </w:p>
    <w:p w14:paraId="4581EA37"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coefficient of female directors is positive and statistically significant. This finding indicates that a higher proportion of female board members is associated with greater profitability. It suggests that female board representation may improve decision-making and strengthen corporate governance, consistent with agency theory, which links effective board oversight to improved firm performance. The result is also consistent with (Terjesen et al., 2015) and (</w:t>
      </w:r>
      <w:proofErr w:type="spellStart"/>
      <w:r w:rsidRPr="0080564B">
        <w:rPr>
          <w:rFonts w:ascii="Times New Roman" w:hAnsi="Times New Roman"/>
          <w:sz w:val="24"/>
          <w:szCs w:val="24"/>
        </w:rPr>
        <w:t>Olowolafe</w:t>
      </w:r>
      <w:proofErr w:type="spellEnd"/>
      <w:r w:rsidRPr="0080564B">
        <w:rPr>
          <w:rFonts w:ascii="Times New Roman" w:hAnsi="Times New Roman"/>
          <w:sz w:val="24"/>
          <w:szCs w:val="24"/>
        </w:rPr>
        <w:t xml:space="preserve"> &amp; Adegbite, 2023).</w:t>
      </w:r>
    </w:p>
    <w:p w14:paraId="24030EE2"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lastRenderedPageBreak/>
        <w:t>Firm age has a positive but statistically insignificant effect on financial performance. This indicates that bank age does not independently explain differences in profitability. Although older banks may benefit from greater experience and market presence, these advantages do not necessarily lead to higher financial returns without complementary strategic factors.</w:t>
      </w:r>
    </w:p>
    <w:p w14:paraId="245EB1D8"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interaction between female CEOs and firm age is positive and statistically significant. This result suggests that firm age strengthens the relationship between female leadership and profitability. As banks become older and more established, the negative effect associated with female CEOs decreases. Institutional maturity and accumulated experience may therefore improve the performance of female-led banks.</w:t>
      </w:r>
    </w:p>
    <w:p w14:paraId="5FD978B8"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In contrast, the interaction between female directors and firm age is negative and statistically significant. This indicates that the positive effect of female board representation on profitability weakens as firms age. Entrenched governance practices and rigid board cultures in older institutions may limit the influence of gender diversity on strategic outcomes.</w:t>
      </w:r>
    </w:p>
    <w:p w14:paraId="34F90F19"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Firm size has a positive but statistically insignificant coefficient. Although larger banks tend to report higher profitability, the relationship is not statistically strong during the study period.</w:t>
      </w:r>
    </w:p>
    <w:p w14:paraId="51C50D45" w14:textId="77777777" w:rsidR="0080564B" w:rsidRPr="0080564B" w:rsidRDefault="0080564B" w:rsidP="0080564B">
      <w:pPr>
        <w:spacing w:after="240" w:line="240" w:lineRule="auto"/>
        <w:jc w:val="both"/>
        <w:rPr>
          <w:rFonts w:ascii="Times New Roman" w:hAnsi="Times New Roman"/>
          <w:b/>
          <w:sz w:val="28"/>
          <w:szCs w:val="24"/>
        </w:rPr>
      </w:pPr>
      <w:r w:rsidRPr="0080564B">
        <w:rPr>
          <w:rFonts w:ascii="Times New Roman" w:hAnsi="Times New Roman"/>
          <w:b/>
          <w:sz w:val="28"/>
          <w:szCs w:val="24"/>
        </w:rPr>
        <w:t>CONCLUSION AND RECOMMENDATIONS</w:t>
      </w:r>
    </w:p>
    <w:p w14:paraId="0F9AEC1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Based on the findings, the study concludes that female CEOs in the Nigerian banking sector may face gender-related challenges that limit their short-term contribution to financial performance. In contrast, gender-diverse boards are associated with more balanced decision-making and stronger financial performance. The study also finds that firm age does not automatically lead to better financial results. Although institutional maturity reduces the negative effect associated with female CEOs, it weakens the positive effect of female directors. Thus, the effect of firm age on gender diversity depends on the measure of gender diversity used. Finally, larger banks do not necessarily achieve higher returns on equity, possibly because the benefits of scale are offset by increased operational and compliance costs.</w:t>
      </w:r>
    </w:p>
    <w:p w14:paraId="455F9734"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study recommends the following:</w:t>
      </w:r>
    </w:p>
    <w:p w14:paraId="7F387ADB"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Banks should increase female representation on their boards by setting internal diversity targets and expanding board-appointment criteria to include qualified women with expertise in finance, risk management, and corporate strategy.</w:t>
      </w:r>
    </w:p>
    <w:p w14:paraId="34CE2303"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Older banks should use their institutional experience to develop innovative governance and operational practices that support sustained profitability. Younger banks should establish strong governance frameworks early in their development to build resilience and achieve long-term profitability.</w:t>
      </w:r>
    </w:p>
    <w:p w14:paraId="632202E1"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Succession planning in older and more established banks should deliberately consider qualified female executives for senior leadership positions. The findings suggest that institutional maturity can reduce the short-term profitability challenges associated with female CEOs.</w:t>
      </w:r>
    </w:p>
    <w:p w14:paraId="2AD554F2"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sz w:val="24"/>
          <w:szCs w:val="24"/>
        </w:rPr>
        <w:t>The study has some limitations. First, it uses only two measures of gender diversity and does not consider other governance positions, such as female board chairs or audit-committee chairs. Second, the sample comprises only 14 listed deposit money banks observed over a 10-year period. This may limit the generalizability of the findings to unlisted firms and other financial institutions. These limitations provide opportunities for future research.</w:t>
      </w:r>
    </w:p>
    <w:p w14:paraId="55288E45" w14:textId="77777777" w:rsidR="0080564B" w:rsidRPr="0080564B" w:rsidRDefault="0080564B" w:rsidP="0080564B">
      <w:pPr>
        <w:spacing w:after="240" w:line="240" w:lineRule="auto"/>
        <w:jc w:val="both"/>
        <w:rPr>
          <w:rFonts w:ascii="Times New Roman" w:hAnsi="Times New Roman"/>
          <w:sz w:val="24"/>
          <w:szCs w:val="24"/>
        </w:rPr>
      </w:pPr>
      <w:r w:rsidRPr="0080564B">
        <w:rPr>
          <w:rFonts w:ascii="Times New Roman" w:hAnsi="Times New Roman"/>
          <w:b/>
          <w:sz w:val="28"/>
          <w:szCs w:val="24"/>
        </w:rPr>
        <w:t>REFERENCES</w:t>
      </w:r>
    </w:p>
    <w:p w14:paraId="0FE6DC6A"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Adams, R. B., &amp; Ferreira, D. (2009). Women in the boardroom and their impact on governance and performance</w:t>
      </w:r>
      <w:r w:rsidRPr="0080564B">
        <w:rPr>
          <w:rFonts w:ascii="Times New Roman" w:eastAsia="MS Gothic" w:hAnsi="MS Gothic"/>
          <w:sz w:val="24"/>
          <w:szCs w:val="24"/>
        </w:rPr>
        <w:t>☆</w:t>
      </w:r>
      <w:r w:rsidRPr="0080564B">
        <w:rPr>
          <w:rFonts w:ascii="Times New Roman" w:hAnsi="Times New Roman"/>
          <w:sz w:val="24"/>
          <w:szCs w:val="24"/>
        </w:rPr>
        <w:t xml:space="preserve">. Journal of Financial Economics, 94(2), 291–309. </w:t>
      </w:r>
    </w:p>
    <w:p w14:paraId="26A27ED7"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https://doi.org/10.1016/j.jfineco.2008.10.007 </w:t>
      </w:r>
    </w:p>
    <w:p w14:paraId="42E8B7A7"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lastRenderedPageBreak/>
        <w:t xml:space="preserve">Adams, R. B., &amp; Funk, P. (2011). Beyond the Glass Ceiling: Does Gender Matter? Management Science, 58(2), 219–235. https://doi.org/10.1287/mnsc.1110.1452 </w:t>
      </w:r>
    </w:p>
    <w:p w14:paraId="74DA4853"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Ahmed, A., A., L. F., Zubairu, A. A., &amp; Ahmed, A. (2019). Corporate governance and financial performance of deposit money banks in Nigeria. Gombe Journal of Administration and Management (GJAM), 2(3), 180–195. https://doi.org/10.64290/gjam.v2i3.1242 </w:t>
      </w:r>
    </w:p>
    <w:p w14:paraId="75157D01"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Arin, D., Musa, K., &amp; Bello, T. (2024). Dual measures of profitability in Nigerian banks: ROA and ROE perspectives. Nigerian Journal of Banking and Finance, 16(2), 144–163. </w:t>
      </w:r>
    </w:p>
    <w:p w14:paraId="54697C15"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Arin, K., Bello, M., &amp; Yusuf, A. (2024). Profitability measures and corporate performance: An empirical analysis of listed firms in Nigeria. African Journal of Accounting Research, 18(1), 55–70. https://doi.org/10.1080/ajar.2024.18.1.55 </w:t>
      </w:r>
    </w:p>
    <w:p w14:paraId="6DCA210B"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Arun, T., Almahrog, Y. E., &amp; Ali, Z. I. (2015). Female directors and earnings management: Evidence from UK companies. International Review of Financial Analysis, 39, 137–146. </w:t>
      </w:r>
    </w:p>
    <w:p w14:paraId="7E62A704"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https://doi.org/10.1016/j.irfa.2015.03.002 </w:t>
      </w:r>
    </w:p>
    <w:p w14:paraId="29AE46C1"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Bagh, T., Khan, M. A., Meyer, N., &amp; Riaz, H. (2023). Impact of boardroom diversity on corporate financial performance. Humanities and Social Sciences Communications, 10(1). </w:t>
      </w:r>
    </w:p>
    <w:p w14:paraId="1DDD2F29"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https://doi.org/10.1057/s41599-023-01700-3  </w:t>
      </w:r>
    </w:p>
    <w:p w14:paraId="4966F197"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Fidelity Bank. (2022). Annual report and financial statements 2021. https://www.fidelitybank.ng </w:t>
      </w:r>
    </w:p>
    <w:p w14:paraId="0D4F0274"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Bassey, O. U., Gambo, N., Puyate, E. M., &amp; Hashim, H. A. (2025). Impact of Female Chief Executive Officers (CEOS) on the Financial Performance of Nigerian Banks: Exploring the Lehman Sisters Hypothesis. International Journal of Business and Management Review, 13(7), 43–66. </w:t>
      </w:r>
    </w:p>
    <w:p w14:paraId="2B1DD264"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https://doi.org/10.37745/ijbmr.2013/vol13n74366 </w:t>
      </w:r>
    </w:p>
    <w:p w14:paraId="321D0D49"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Beck, T., Demirgüç‐Kunt, A., &amp; Maksimovic, V. (2005). Financial and Legal Constraints to Growth: Does Firm Size Matter? The Journal of Finance, 60(1), 137–177. https://doi.org/10.1111/j.1540-6261.2005.00727.x </w:t>
      </w:r>
    </w:p>
    <w:p w14:paraId="1F9383E3"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Daily, C. M., Dalton, D. R., &amp; Cannella, A. A. (2003). Corporate Governance: Decades of Dialogue </w:t>
      </w:r>
    </w:p>
    <w:p w14:paraId="7937512F" w14:textId="77777777" w:rsid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and Data. Academy of Management Review, 28(3), 371–382. </w:t>
      </w:r>
    </w:p>
    <w:p w14:paraId="5A328157" w14:textId="77777777" w:rsidR="0080564B" w:rsidRPr="0080564B" w:rsidRDefault="0080564B" w:rsidP="0080564B">
      <w:pPr>
        <w:spacing w:after="0" w:line="240" w:lineRule="auto"/>
        <w:jc w:val="both"/>
        <w:rPr>
          <w:rFonts w:ascii="Times New Roman" w:hAnsi="Times New Roman"/>
          <w:sz w:val="24"/>
          <w:szCs w:val="24"/>
        </w:rPr>
      </w:pPr>
      <w:r>
        <w:rPr>
          <w:rFonts w:ascii="Times New Roman" w:hAnsi="Times New Roman"/>
          <w:sz w:val="24"/>
          <w:szCs w:val="24"/>
        </w:rPr>
        <w:t xml:space="preserve">            </w:t>
      </w:r>
      <w:r w:rsidRPr="0080564B">
        <w:rPr>
          <w:rFonts w:ascii="Times New Roman" w:hAnsi="Times New Roman"/>
          <w:sz w:val="24"/>
          <w:szCs w:val="24"/>
        </w:rPr>
        <w:t xml:space="preserve">https://doi.org/10.5465/amr.2003.10196703 </w:t>
      </w:r>
    </w:p>
    <w:p w14:paraId="5E98DDD1"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Dang, C., Li, Z., &amp; Yang, C. (2017). Measuring firm size in empirical corporate finance. Journal of Banking &amp; Finance, 86, 159–176. https://doi.org/10.1016/j.jbankfin.2017.09.006 </w:t>
      </w:r>
    </w:p>
    <w:p w14:paraId="29827464"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Ehikioya, B. I., Omankhanlen, A. E., Mac‐Ozigbo, A., Okoye, L. U., &amp; Ufua, D. E. (2025). Women on Corporate Boards and Their Influence on Firm Performance in Nigeria: Evidence From Panel Data Analysis. African Development Review, 37(3). https://doi.org/10.1111/1467-8268.70029 </w:t>
      </w:r>
    </w:p>
    <w:p w14:paraId="0CB7F586"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Fama, E. F., &amp; Jensen, M. C. (1983). Separation of Ownership and Control. The Journal of Law and Economics, 26(2), 301–325. https://doi.org/10.1086/467037 </w:t>
      </w:r>
    </w:p>
    <w:p w14:paraId="0852DD51"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Grosvold, J. (2011). Where Are All the Women? Institutional Context and the Prevalence of Women on the Corporate Board of Directors. Business &amp; Society, 50(3), 531–555. </w:t>
      </w:r>
    </w:p>
    <w:p w14:paraId="6E011269"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https://doi.org/10.1177/0007650311408791 </w:t>
      </w:r>
    </w:p>
    <w:p w14:paraId="3A2C49DF"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Hambrick, D. C., &amp; Mason, P. A. (1984). Upper Echelons: The Organization as a Reflection of Its Top Managers. https://doi.org/10.5465/amr.1984.4277628 </w:t>
      </w:r>
    </w:p>
    <w:p w14:paraId="501AB013"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Hordofa, D. F., &amp; Ionașcu, A. E. (2025). Moderating effects of board gender diversity and size on bank profitablity: panel evidence from Ethiopia. Discover Sustainability, 6(1). </w:t>
      </w:r>
    </w:p>
    <w:p w14:paraId="2AE1AE5B"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https://doi.org/10.1007/s43621-025-01926-y </w:t>
      </w:r>
    </w:p>
    <w:p w14:paraId="2EEAB0A7"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Ibrahim, M. B., &amp; Ahmed, A. Z.-R. (2020). Effect of executive compensation and share ownership on financial performance of listed deposit money banks in Nigeria. Journal of Accounting and Taxation, 12(1), 1–11. https://doi.org/10.5897/jat2019.0377 </w:t>
      </w:r>
    </w:p>
    <w:p w14:paraId="7C87B71A"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Joecks, J., Pull, K., &amp; Vetter, K. (2012). Gender Diversity in the Boardroom and Firm Performance: What Exactly Constitutes a “Critical Mass?” Journal of Business Ethics, 118(1), 61–72. </w:t>
      </w:r>
    </w:p>
    <w:p w14:paraId="7D8868BD"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https://doi.org/10.1007/s10551-012-1553-6 </w:t>
      </w:r>
    </w:p>
    <w:p w14:paraId="75270415"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Koua, J. (2023). Bank intermediation, profitability, and economic growth in Nigeria. </w:t>
      </w:r>
    </w:p>
    <w:p w14:paraId="74D48958"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Kouassi, K., &amp; Traore, M. (2022). Female directors and firm profitability: Evidence from West Africa. </w:t>
      </w:r>
    </w:p>
    <w:p w14:paraId="18A5EE95" w14:textId="77777777" w:rsid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Lara, J. M. G., Osma, B. G., Enguídanos, A. M., &amp; Scapin, M. (2017). The monitoring role of female directors over accounting quality. Bristol Research (University of Bristol), 45, 651–668. </w:t>
      </w:r>
    </w:p>
    <w:p w14:paraId="30BE761D" w14:textId="77777777" w:rsidR="0080564B" w:rsidRPr="0080564B" w:rsidRDefault="0080564B" w:rsidP="0080564B">
      <w:pPr>
        <w:pStyle w:val="ListParagraph"/>
        <w:spacing w:after="0" w:line="240" w:lineRule="auto"/>
        <w:jc w:val="both"/>
        <w:rPr>
          <w:rFonts w:ascii="Times New Roman" w:hAnsi="Times New Roman"/>
          <w:sz w:val="24"/>
          <w:szCs w:val="24"/>
        </w:rPr>
      </w:pPr>
      <w:r w:rsidRPr="0080564B">
        <w:rPr>
          <w:rFonts w:ascii="Times New Roman" w:hAnsi="Times New Roman"/>
          <w:sz w:val="24"/>
          <w:szCs w:val="24"/>
        </w:rPr>
        <w:t xml:space="preserve">https://doi.org/10.1016/j.jcorpfin.2017.05.016 </w:t>
      </w:r>
    </w:p>
    <w:p w14:paraId="15C601EA"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lastRenderedPageBreak/>
        <w:t xml:space="preserve">Mensah, K., &amp; Boateng, R. (2023). Board independence, gender diversity, and firm profitability in sub-Saharan Africa. </w:t>
      </w:r>
    </w:p>
    <w:p w14:paraId="68443D81"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Milojević, I. (2023). Female CEOs and bank profitability in transitional economies: Evidence from Serbia. Economic Annals, 68(238), 43–65. https://doi.org/10.2298/EKA238043M </w:t>
      </w:r>
    </w:p>
    <w:p w14:paraId="1CF8735A"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Mohammed, A., Suleiman, I., &amp; Lawal, Y. (2022). CEO attributes, gender diversity, and financial distress in Nigerian banks: The moderating role of risk committees. Journal of African Business, 23(4), 517–538. https://doi.org/10.1080/15228916.2021.1960472 </w:t>
      </w:r>
    </w:p>
    <w:p w14:paraId="026E1658"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Nwosu, E., &amp; Amah, E. (2019). Female board participation, intellectual capital efficiency, and performance of Nigerian banks. </w:t>
      </w:r>
    </w:p>
    <w:p w14:paraId="545BEEDB"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Ogbeide, S. O., Ogiugo, H. U., &amp; Adesuyi, I. O. (2021). Corporate governance mechanisms and financial reporting quality of commercial banks in Nigeria. Insights into Regional Development, 3(1), 136–146. https://doi.org/10.9770/ird.2021.3.1(8) </w:t>
      </w:r>
    </w:p>
    <w:p w14:paraId="65E72CF0"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Okafor, C., &amp; Egbe, M. (2021). Firm age, governance reforms and performance in Nigerian banks. </w:t>
      </w:r>
    </w:p>
    <w:p w14:paraId="70B3DAD0"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Olowolafe, A., &amp; Adegbite, E. (2023). Corporate governance and financial performance of deposit money banks in Nigeria: The moderating role of economic shocks. </w:t>
      </w:r>
    </w:p>
    <w:p w14:paraId="3EDE3F6B"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Omondi, M. M., &amp; Muturi, W. (2019). Effect of corporate governance practices on financial performance of listed banks in Kenya. International Journal of Economics, Commerce and Management, 7(6), 658–673. </w:t>
      </w:r>
    </w:p>
    <w:p w14:paraId="6F33CE66"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Osei, E., &amp; Adomako, S. (2024). Profitability and governance in Nigerian banks: The moderating role of firm age. </w:t>
      </w:r>
    </w:p>
    <w:p w14:paraId="318219CA"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Osinfowokan, A., Chukwu, G., &amp; Bello, T. (2022). CEO characteristics and financial performance of listed Nigerian banks. </w:t>
      </w:r>
    </w:p>
    <w:p w14:paraId="6724223D"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Schoonjans, E., Hottenrott, H., &amp; Buchwald, A. (2023). Welcome on Board? Appointment Dynamics of Women as Directors. Journal of Business Ethics, 192(3), 561–589. https://doi.org/10.1007/s10551-023-05451-8 </w:t>
      </w:r>
    </w:p>
    <w:p w14:paraId="70425F6A" w14:textId="77777777" w:rsidR="0080564B"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 xml:space="preserve">Terjesen, S., Couto, E., &amp; Francisco, P. (2015). Does the presence of independent and female directors impact firm performance? A multi-country study of board diversity. Journal of Management &amp; Governance, 20(3), 447–483. https://doi.org/10.1007/s10997-014-9307-8 </w:t>
      </w:r>
    </w:p>
    <w:p w14:paraId="3D535CDE" w14:textId="77777777" w:rsidR="00624847" w:rsidRPr="0080564B" w:rsidRDefault="0080564B" w:rsidP="0080564B">
      <w:pPr>
        <w:pStyle w:val="ListParagraph"/>
        <w:numPr>
          <w:ilvl w:val="0"/>
          <w:numId w:val="24"/>
        </w:numPr>
        <w:spacing w:after="0" w:line="240" w:lineRule="auto"/>
        <w:jc w:val="both"/>
        <w:rPr>
          <w:rFonts w:ascii="Times New Roman" w:hAnsi="Times New Roman"/>
          <w:sz w:val="24"/>
          <w:szCs w:val="24"/>
        </w:rPr>
      </w:pPr>
      <w:r w:rsidRPr="0080564B">
        <w:rPr>
          <w:rFonts w:ascii="Times New Roman" w:hAnsi="Times New Roman"/>
          <w:sz w:val="24"/>
          <w:szCs w:val="24"/>
        </w:rPr>
        <w:t>Unity Bank. (2022). Annual report and financial statements 2022.</w:t>
      </w:r>
    </w:p>
    <w:sectPr w:rsidR="00624847" w:rsidRPr="0080564B" w:rsidSect="00841076">
      <w:headerReference w:type="default" r:id="rId10"/>
      <w:footerReference w:type="default" r:id="rId11"/>
      <w:pgSz w:w="11907" w:h="16840" w:code="9"/>
      <w:pgMar w:top="1094" w:right="607" w:bottom="607" w:left="607" w:header="346" w:footer="403" w:gutter="0"/>
      <w:pgNumType w:start="168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94EE" w14:textId="77777777" w:rsidR="00450A32" w:rsidRDefault="00450A32" w:rsidP="00D15D21">
      <w:pPr>
        <w:spacing w:after="0" w:line="240" w:lineRule="auto"/>
      </w:pPr>
      <w:r>
        <w:separator/>
      </w:r>
    </w:p>
  </w:endnote>
  <w:endnote w:type="continuationSeparator" w:id="0">
    <w:p w14:paraId="6DD5B241" w14:textId="77777777" w:rsidR="00450A32" w:rsidRDefault="00450A32" w:rsidP="00D15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utch801 Rm BT">
    <w:altName w:val="Cambria"/>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F55A3" w14:textId="77777777" w:rsidR="00C64789" w:rsidRPr="007050CA" w:rsidRDefault="00000000" w:rsidP="00C666F3">
    <w:pPr>
      <w:tabs>
        <w:tab w:val="center" w:pos="4680"/>
        <w:tab w:val="left" w:pos="8980"/>
        <w:tab w:val="right" w:pos="9360"/>
        <w:tab w:val="right" w:pos="10696"/>
      </w:tabs>
      <w:spacing w:after="0"/>
    </w:pPr>
    <w:r>
      <w:rPr>
        <w:noProof/>
      </w:rPr>
      <w:pict w14:anchorId="4BB27482">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14:paraId="2991F6BD" w14:textId="77777777" w:rsidR="00C64789" w:rsidRPr="00C1330E" w:rsidRDefault="00C64789"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14:paraId="5FB383AE" w14:textId="77777777" w:rsidR="00C64789" w:rsidRPr="00C1330E" w:rsidRDefault="00C64789" w:rsidP="006B5EF2">
                <w:pPr>
                  <w:rPr>
                    <w:b/>
                    <w:color w:val="2F5496" w:themeColor="accent1" w:themeShade="BF"/>
                    <w:szCs w:val="20"/>
                  </w:rPr>
                </w:pPr>
              </w:p>
              <w:p w14:paraId="04CF8DF2" w14:textId="77777777" w:rsidR="00C64789" w:rsidRPr="00C1330E" w:rsidRDefault="00C64789" w:rsidP="006B5EF2">
                <w:pPr>
                  <w:rPr>
                    <w:b/>
                    <w:color w:val="2F5496" w:themeColor="accent1" w:themeShade="BF"/>
                  </w:rPr>
                </w:pPr>
              </w:p>
            </w:txbxContent>
          </v:textbox>
          <w10:wrap anchorx="page" anchory="page"/>
        </v:shape>
      </w:pict>
    </w:r>
    <w:r>
      <w:rPr>
        <w:noProof/>
      </w:rPr>
      <w:pict w14:anchorId="182C7266">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14:paraId="74426DA5" w14:textId="77777777" w:rsidR="00C64789" w:rsidRPr="00C1330E" w:rsidRDefault="001B6423"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w:t>
                </w:r>
                <w:r w:rsidR="00C64789" w:rsidRPr="00C1330E">
                  <w:rPr>
                    <w:rFonts w:ascii="Times New Roman" w:hAnsi="Times New Roman"/>
                    <w:b/>
                    <w:color w:val="2F5496" w:themeColor="accent1" w:themeShade="BF"/>
                    <w:sz w:val="20"/>
                  </w:rPr>
                  <w:t xml:space="preserve">Page </w:t>
                </w:r>
                <w:r w:rsidR="001D2BE4" w:rsidRPr="00C1330E">
                  <w:rPr>
                    <w:rFonts w:ascii="Times New Roman" w:hAnsi="Times New Roman"/>
                    <w:b/>
                    <w:color w:val="2F5496" w:themeColor="accent1" w:themeShade="BF"/>
                    <w:sz w:val="20"/>
                  </w:rPr>
                  <w:fldChar w:fldCharType="begin"/>
                </w:r>
                <w:r w:rsidR="00C64789" w:rsidRPr="00C1330E">
                  <w:rPr>
                    <w:rFonts w:ascii="Times New Roman" w:hAnsi="Times New Roman"/>
                    <w:b/>
                    <w:color w:val="2F5496" w:themeColor="accent1" w:themeShade="BF"/>
                    <w:sz w:val="20"/>
                  </w:rPr>
                  <w:instrText xml:space="preserve"> PAGE </w:instrText>
                </w:r>
                <w:r w:rsidR="001D2BE4" w:rsidRPr="00C1330E">
                  <w:rPr>
                    <w:rFonts w:ascii="Times New Roman" w:hAnsi="Times New Roman"/>
                    <w:b/>
                    <w:color w:val="2F5496" w:themeColor="accent1" w:themeShade="BF"/>
                    <w:sz w:val="20"/>
                  </w:rPr>
                  <w:fldChar w:fldCharType="separate"/>
                </w:r>
                <w:r w:rsidR="00841076">
                  <w:rPr>
                    <w:rFonts w:ascii="Times New Roman" w:hAnsi="Times New Roman"/>
                    <w:b/>
                    <w:noProof/>
                    <w:color w:val="2F5496" w:themeColor="accent1" w:themeShade="BF"/>
                    <w:sz w:val="20"/>
                  </w:rPr>
                  <w:t>1701</w:t>
                </w:r>
                <w:r w:rsidR="001D2BE4" w:rsidRPr="00C1330E">
                  <w:rPr>
                    <w:rFonts w:ascii="Times New Roman" w:hAnsi="Times New Roman"/>
                    <w:b/>
                    <w:color w:val="2F5496" w:themeColor="accent1" w:themeShade="BF"/>
                    <w:sz w:val="20"/>
                  </w:rPr>
                  <w:fldChar w:fldCharType="end"/>
                </w:r>
              </w:p>
            </w:txbxContent>
          </v:textbox>
          <w10:wrap anchorx="page" anchory="page"/>
        </v:shape>
      </w:pict>
    </w:r>
    <w:r>
      <w:rPr>
        <w:noProof/>
      </w:rPr>
      <w:pict w14:anchorId="7C2D7E5B">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9B21" w14:textId="77777777" w:rsidR="00450A32" w:rsidRDefault="00450A32" w:rsidP="00D15D21">
      <w:pPr>
        <w:spacing w:after="0" w:line="240" w:lineRule="auto"/>
      </w:pPr>
      <w:r>
        <w:separator/>
      </w:r>
    </w:p>
  </w:footnote>
  <w:footnote w:type="continuationSeparator" w:id="0">
    <w:p w14:paraId="13982DFE" w14:textId="77777777" w:rsidR="00450A32" w:rsidRDefault="00450A32" w:rsidP="00D15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B7C0" w14:textId="77777777" w:rsidR="00C64789" w:rsidRDefault="00D60295"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rPr>
      <w:drawing>
        <wp:anchor distT="0" distB="0" distL="114300" distR="114300" simplePos="0" relativeHeight="251671552" behindDoc="0" locked="0" layoutInCell="1" allowOverlap="1" wp14:anchorId="2E4E71CE" wp14:editId="1270AC94">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1"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000000">
      <w:rPr>
        <w:rFonts w:ascii="Times New Roman" w:hAnsi="Times New Roman"/>
        <w:noProof/>
        <w:sz w:val="20"/>
        <w:szCs w:val="20"/>
        <w:lang w:eastAsia="en-IN"/>
      </w:rPr>
      <w:pict w14:anchorId="07995AD9">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14:paraId="360E1CD0" w14:textId="77777777" w:rsidR="00C64789" w:rsidRPr="001B6423" w:rsidRDefault="00C64789"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|Volume I Issue I</w:t>
                </w:r>
                <w:r w:rsidR="00C1330E">
                  <w:rPr>
                    <w:rFonts w:ascii="Times New Roman" w:hAnsi="Times New Roman"/>
                    <w:b/>
                    <w:color w:val="2F5496" w:themeColor="accent1" w:themeShade="BF"/>
                    <w:sz w:val="24"/>
                    <w:szCs w:val="24"/>
                  </w:rPr>
                  <w:t>I</w:t>
                </w:r>
                <w:r w:rsidRPr="001B6423">
                  <w:rPr>
                    <w:rFonts w:ascii="Times New Roman" w:hAnsi="Times New Roman"/>
                    <w:b/>
                    <w:color w:val="2F5496" w:themeColor="accent1" w:themeShade="BF"/>
                    <w:sz w:val="24"/>
                    <w:szCs w:val="24"/>
                  </w:rPr>
                  <w:t xml:space="preserve"> </w:t>
                </w:r>
                <w:r w:rsidR="00C1330E">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sidR="00A25824">
                  <w:rPr>
                    <w:rFonts w:ascii="Times New Roman" w:hAnsi="Times New Roman"/>
                    <w:b/>
                    <w:color w:val="2F5496" w:themeColor="accent1" w:themeShade="BF"/>
                    <w:sz w:val="24"/>
                    <w:szCs w:val="24"/>
                  </w:rPr>
                  <w:t>| DOI: 10.68050/JAMS</w:t>
                </w:r>
              </w:p>
              <w:p w14:paraId="56742304" w14:textId="77777777" w:rsidR="00C64789" w:rsidRPr="006B5EF2" w:rsidRDefault="00C64789" w:rsidP="001B6423">
                <w:pPr>
                  <w:jc w:val="center"/>
                  <w:rPr>
                    <w:rFonts w:ascii="Times New Roman" w:hAnsi="Times New Roman"/>
                    <w:sz w:val="20"/>
                    <w:szCs w:val="20"/>
                  </w:rPr>
                </w:pPr>
              </w:p>
            </w:txbxContent>
          </v:textbox>
          <w10:wrap anchorx="page" anchory="page"/>
        </v:shape>
      </w:pict>
    </w:r>
  </w:p>
  <w:p w14:paraId="354E01DD" w14:textId="77777777" w:rsidR="00C64789" w:rsidRPr="00E67DAA" w:rsidRDefault="00C64789"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14:paraId="0CAA4F35" w14:textId="77777777" w:rsidR="00C64789" w:rsidRPr="00E67DAA" w:rsidRDefault="00000000"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Pr>
        <w:rFonts w:ascii="Times New Roman" w:hAnsi="Times New Roman"/>
        <w:noProof/>
        <w:sz w:val="20"/>
        <w:szCs w:val="20"/>
        <w:lang w:eastAsia="en-IN"/>
      </w:rPr>
    </w:r>
    <w:r>
      <w:rPr>
        <w:rFonts w:ascii="Times New Roman" w:hAnsi="Times New Roman"/>
        <w:noProof/>
        <w:sz w:val="20"/>
        <w:szCs w:val="20"/>
        <w:lang w:eastAsia="en-IN"/>
      </w:rPr>
      <w:pict w14:anchorId="058A4C0E">
        <v:group id="Group 406503008" o:spid="_x0000_s1032" style="width:532.8pt;height:1.5pt;mso-position-horizontal-relative:char;mso-position-vertical-relative:line" coordsize="66713,19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Pr>
        <w:rFonts w:ascii="Times New Roman" w:hAnsi="Times New Roman"/>
        <w:noProof/>
        <w:sz w:val="20"/>
        <w:szCs w:val="20"/>
        <w:lang w:eastAsia="en-IN"/>
      </w:rPr>
      <w:pict w14:anchorId="25947753">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5326F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8363B4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B903E20"/>
    <w:multiLevelType w:val="multilevel"/>
    <w:tmpl w:val="13E0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202C3"/>
    <w:multiLevelType w:val="multilevel"/>
    <w:tmpl w:val="623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D39A7"/>
    <w:multiLevelType w:val="hybridMultilevel"/>
    <w:tmpl w:val="D750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C2413"/>
    <w:multiLevelType w:val="multilevel"/>
    <w:tmpl w:val="353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81792"/>
    <w:multiLevelType w:val="multilevel"/>
    <w:tmpl w:val="E95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43C2E"/>
    <w:multiLevelType w:val="multilevel"/>
    <w:tmpl w:val="C15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E27BF"/>
    <w:multiLevelType w:val="multilevel"/>
    <w:tmpl w:val="1A6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D34A5"/>
    <w:multiLevelType w:val="multilevel"/>
    <w:tmpl w:val="A6DC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0138B"/>
    <w:multiLevelType w:val="multilevel"/>
    <w:tmpl w:val="D5D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50026"/>
    <w:multiLevelType w:val="multilevel"/>
    <w:tmpl w:val="9B68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036A9"/>
    <w:multiLevelType w:val="multilevel"/>
    <w:tmpl w:val="617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B3E1F"/>
    <w:multiLevelType w:val="multilevel"/>
    <w:tmpl w:val="E87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E16CEF"/>
    <w:multiLevelType w:val="hybridMultilevel"/>
    <w:tmpl w:val="94003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8B01A2"/>
    <w:multiLevelType w:val="multilevel"/>
    <w:tmpl w:val="82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0C1491"/>
    <w:multiLevelType w:val="multilevel"/>
    <w:tmpl w:val="50F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D578D4"/>
    <w:multiLevelType w:val="multilevel"/>
    <w:tmpl w:val="6506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AA7B6A"/>
    <w:multiLevelType w:val="multilevel"/>
    <w:tmpl w:val="A368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8242E"/>
    <w:multiLevelType w:val="multilevel"/>
    <w:tmpl w:val="4F7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80C2A"/>
    <w:multiLevelType w:val="multilevel"/>
    <w:tmpl w:val="C92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17B86"/>
    <w:multiLevelType w:val="hybridMultilevel"/>
    <w:tmpl w:val="53382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7549FA"/>
    <w:multiLevelType w:val="hybridMultilevel"/>
    <w:tmpl w:val="5AD6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0365453">
    <w:abstractNumId w:val="10"/>
  </w:num>
  <w:num w:numId="2" w16cid:durableId="1498879318">
    <w:abstractNumId w:val="19"/>
  </w:num>
  <w:num w:numId="3" w16cid:durableId="283117001">
    <w:abstractNumId w:val="15"/>
  </w:num>
  <w:num w:numId="4" w16cid:durableId="1071779299">
    <w:abstractNumId w:val="11"/>
  </w:num>
  <w:num w:numId="5" w16cid:durableId="621153852">
    <w:abstractNumId w:val="5"/>
  </w:num>
  <w:num w:numId="6" w16cid:durableId="128018152">
    <w:abstractNumId w:val="7"/>
  </w:num>
  <w:num w:numId="7" w16cid:durableId="1359502643">
    <w:abstractNumId w:val="16"/>
  </w:num>
  <w:num w:numId="8" w16cid:durableId="1417631225">
    <w:abstractNumId w:val="20"/>
  </w:num>
  <w:num w:numId="9" w16cid:durableId="526916282">
    <w:abstractNumId w:val="2"/>
  </w:num>
  <w:num w:numId="10" w16cid:durableId="734087745">
    <w:abstractNumId w:val="12"/>
  </w:num>
  <w:num w:numId="11" w16cid:durableId="1149397035">
    <w:abstractNumId w:val="6"/>
  </w:num>
  <w:num w:numId="12" w16cid:durableId="1776048061">
    <w:abstractNumId w:val="8"/>
  </w:num>
  <w:num w:numId="13" w16cid:durableId="1873495431">
    <w:abstractNumId w:val="9"/>
  </w:num>
  <w:num w:numId="14" w16cid:durableId="540675833">
    <w:abstractNumId w:val="3"/>
  </w:num>
  <w:num w:numId="15" w16cid:durableId="1685935779">
    <w:abstractNumId w:val="18"/>
  </w:num>
  <w:num w:numId="16" w16cid:durableId="2020885651">
    <w:abstractNumId w:val="13"/>
  </w:num>
  <w:num w:numId="17" w16cid:durableId="1303388763">
    <w:abstractNumId w:val="17"/>
  </w:num>
  <w:num w:numId="18" w16cid:durableId="1463427502">
    <w:abstractNumId w:val="22"/>
  </w:num>
  <w:num w:numId="19" w16cid:durableId="1105003437">
    <w:abstractNumId w:val="21"/>
  </w:num>
  <w:num w:numId="20" w16cid:durableId="932590047">
    <w:abstractNumId w:val="0"/>
  </w:num>
  <w:num w:numId="21" w16cid:durableId="222184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0642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586496">
    <w:abstractNumId w:val="4"/>
  </w:num>
  <w:num w:numId="24" w16cid:durableId="112539460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02F3"/>
    <w:rsid w:val="00003080"/>
    <w:rsid w:val="000051CE"/>
    <w:rsid w:val="000053E2"/>
    <w:rsid w:val="00006431"/>
    <w:rsid w:val="00006C14"/>
    <w:rsid w:val="00014DDF"/>
    <w:rsid w:val="0001586A"/>
    <w:rsid w:val="00017A42"/>
    <w:rsid w:val="00017C42"/>
    <w:rsid w:val="00026A8A"/>
    <w:rsid w:val="0002704E"/>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22A7"/>
    <w:rsid w:val="000B32E2"/>
    <w:rsid w:val="000B3A39"/>
    <w:rsid w:val="000B4374"/>
    <w:rsid w:val="000B7F5F"/>
    <w:rsid w:val="000C31D0"/>
    <w:rsid w:val="000C33E6"/>
    <w:rsid w:val="000C3C1D"/>
    <w:rsid w:val="000C77E7"/>
    <w:rsid w:val="000C7F19"/>
    <w:rsid w:val="000D16D6"/>
    <w:rsid w:val="000D1C94"/>
    <w:rsid w:val="000D75C9"/>
    <w:rsid w:val="000E7C77"/>
    <w:rsid w:val="000F32C0"/>
    <w:rsid w:val="000F4896"/>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2BE4"/>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582"/>
    <w:rsid w:val="00232ECE"/>
    <w:rsid w:val="002401E7"/>
    <w:rsid w:val="002406DF"/>
    <w:rsid w:val="002438C5"/>
    <w:rsid w:val="00244865"/>
    <w:rsid w:val="00245AB0"/>
    <w:rsid w:val="00247CF2"/>
    <w:rsid w:val="00255D08"/>
    <w:rsid w:val="00271801"/>
    <w:rsid w:val="0027280B"/>
    <w:rsid w:val="00272B1C"/>
    <w:rsid w:val="0027345D"/>
    <w:rsid w:val="00273E48"/>
    <w:rsid w:val="00280A4B"/>
    <w:rsid w:val="00280E60"/>
    <w:rsid w:val="00281ABA"/>
    <w:rsid w:val="0028220A"/>
    <w:rsid w:val="0028389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0A32"/>
    <w:rsid w:val="00451A70"/>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A11F4"/>
    <w:rsid w:val="004A3DF4"/>
    <w:rsid w:val="004A40CE"/>
    <w:rsid w:val="004B0571"/>
    <w:rsid w:val="004B4AD3"/>
    <w:rsid w:val="004C28FB"/>
    <w:rsid w:val="004C31B8"/>
    <w:rsid w:val="004D21DD"/>
    <w:rsid w:val="004D6D58"/>
    <w:rsid w:val="004D792D"/>
    <w:rsid w:val="004E275F"/>
    <w:rsid w:val="004E297D"/>
    <w:rsid w:val="004E6767"/>
    <w:rsid w:val="004E76D2"/>
    <w:rsid w:val="004E7A59"/>
    <w:rsid w:val="004F3451"/>
    <w:rsid w:val="004F3928"/>
    <w:rsid w:val="004F63B5"/>
    <w:rsid w:val="00502310"/>
    <w:rsid w:val="00504F2B"/>
    <w:rsid w:val="00505015"/>
    <w:rsid w:val="0050506C"/>
    <w:rsid w:val="0050645F"/>
    <w:rsid w:val="0050712F"/>
    <w:rsid w:val="00507E76"/>
    <w:rsid w:val="00512442"/>
    <w:rsid w:val="00534B8B"/>
    <w:rsid w:val="00544604"/>
    <w:rsid w:val="00544E90"/>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BF6"/>
    <w:rsid w:val="005A22EC"/>
    <w:rsid w:val="005B2F30"/>
    <w:rsid w:val="005B521B"/>
    <w:rsid w:val="005C0A57"/>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F13B4"/>
    <w:rsid w:val="007F4AE2"/>
    <w:rsid w:val="007F4CB6"/>
    <w:rsid w:val="0080564B"/>
    <w:rsid w:val="00806353"/>
    <w:rsid w:val="008149D9"/>
    <w:rsid w:val="00822389"/>
    <w:rsid w:val="00826674"/>
    <w:rsid w:val="00827980"/>
    <w:rsid w:val="00841076"/>
    <w:rsid w:val="0084169E"/>
    <w:rsid w:val="00841D37"/>
    <w:rsid w:val="00842AA1"/>
    <w:rsid w:val="00843E13"/>
    <w:rsid w:val="0084647B"/>
    <w:rsid w:val="00863436"/>
    <w:rsid w:val="008674F0"/>
    <w:rsid w:val="008752F2"/>
    <w:rsid w:val="008833F1"/>
    <w:rsid w:val="0088438E"/>
    <w:rsid w:val="008A0A48"/>
    <w:rsid w:val="008A15FE"/>
    <w:rsid w:val="008A76C1"/>
    <w:rsid w:val="008B0F71"/>
    <w:rsid w:val="008B0F8D"/>
    <w:rsid w:val="008B18EA"/>
    <w:rsid w:val="008C34EB"/>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4659"/>
    <w:rsid w:val="00957748"/>
    <w:rsid w:val="0097332D"/>
    <w:rsid w:val="00986B8A"/>
    <w:rsid w:val="00996251"/>
    <w:rsid w:val="009A0D50"/>
    <w:rsid w:val="009A12B1"/>
    <w:rsid w:val="009A38C9"/>
    <w:rsid w:val="009A44A0"/>
    <w:rsid w:val="009A60E4"/>
    <w:rsid w:val="009C78AE"/>
    <w:rsid w:val="009D14D1"/>
    <w:rsid w:val="009D29A6"/>
    <w:rsid w:val="009D619C"/>
    <w:rsid w:val="009E0796"/>
    <w:rsid w:val="009E50E0"/>
    <w:rsid w:val="009E6694"/>
    <w:rsid w:val="009F054A"/>
    <w:rsid w:val="009F272D"/>
    <w:rsid w:val="009F4A87"/>
    <w:rsid w:val="009F5807"/>
    <w:rsid w:val="009F64D9"/>
    <w:rsid w:val="009F68AF"/>
    <w:rsid w:val="009F7A03"/>
    <w:rsid w:val="00A047E1"/>
    <w:rsid w:val="00A0521D"/>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74FD"/>
    <w:rsid w:val="00A64E9F"/>
    <w:rsid w:val="00A72ECC"/>
    <w:rsid w:val="00A72F73"/>
    <w:rsid w:val="00A747B7"/>
    <w:rsid w:val="00A752D7"/>
    <w:rsid w:val="00A77056"/>
    <w:rsid w:val="00A82652"/>
    <w:rsid w:val="00A869C5"/>
    <w:rsid w:val="00A874BB"/>
    <w:rsid w:val="00A91087"/>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4893"/>
    <w:rsid w:val="00B56CB4"/>
    <w:rsid w:val="00B571FC"/>
    <w:rsid w:val="00B70B8B"/>
    <w:rsid w:val="00B71E4B"/>
    <w:rsid w:val="00B75D51"/>
    <w:rsid w:val="00B76DB1"/>
    <w:rsid w:val="00B80050"/>
    <w:rsid w:val="00B95411"/>
    <w:rsid w:val="00B95F68"/>
    <w:rsid w:val="00B97877"/>
    <w:rsid w:val="00BB21A8"/>
    <w:rsid w:val="00BB4EC2"/>
    <w:rsid w:val="00BB5F43"/>
    <w:rsid w:val="00BC5950"/>
    <w:rsid w:val="00BC654A"/>
    <w:rsid w:val="00BD1DB0"/>
    <w:rsid w:val="00BD20EA"/>
    <w:rsid w:val="00BD5E07"/>
    <w:rsid w:val="00BD7237"/>
    <w:rsid w:val="00BD77A9"/>
    <w:rsid w:val="00BE36CB"/>
    <w:rsid w:val="00BE55D0"/>
    <w:rsid w:val="00BF33A5"/>
    <w:rsid w:val="00BF3D9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4012"/>
    <w:rsid w:val="00C85357"/>
    <w:rsid w:val="00C865A0"/>
    <w:rsid w:val="00C87343"/>
    <w:rsid w:val="00C94949"/>
    <w:rsid w:val="00CA392A"/>
    <w:rsid w:val="00CA49FE"/>
    <w:rsid w:val="00CB051C"/>
    <w:rsid w:val="00CB2CC7"/>
    <w:rsid w:val="00CC1C5E"/>
    <w:rsid w:val="00CC6E2F"/>
    <w:rsid w:val="00CD2B8C"/>
    <w:rsid w:val="00CD61D2"/>
    <w:rsid w:val="00CD65E7"/>
    <w:rsid w:val="00CE3F34"/>
    <w:rsid w:val="00CE5391"/>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A689F"/>
    <w:rsid w:val="00DB4C9D"/>
    <w:rsid w:val="00DB6ED6"/>
    <w:rsid w:val="00DC178D"/>
    <w:rsid w:val="00DC1C1E"/>
    <w:rsid w:val="00DD1413"/>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7D1C"/>
    <w:rsid w:val="00E43996"/>
    <w:rsid w:val="00E441F6"/>
    <w:rsid w:val="00E508B6"/>
    <w:rsid w:val="00E508E3"/>
    <w:rsid w:val="00E53ED3"/>
    <w:rsid w:val="00E56948"/>
    <w:rsid w:val="00E56CA9"/>
    <w:rsid w:val="00E57317"/>
    <w:rsid w:val="00E608DA"/>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A1E75"/>
    <w:rsid w:val="00EA4129"/>
    <w:rsid w:val="00EA6E2F"/>
    <w:rsid w:val="00EA6FD7"/>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2A34"/>
    <w:rsid w:val="00F549A6"/>
    <w:rsid w:val="00F55E25"/>
    <w:rsid w:val="00F56613"/>
    <w:rsid w:val="00F6390B"/>
    <w:rsid w:val="00F642D9"/>
    <w:rsid w:val="00F715E6"/>
    <w:rsid w:val="00F720B5"/>
    <w:rsid w:val="00F763B9"/>
    <w:rsid w:val="00F767F6"/>
    <w:rsid w:val="00F76D2A"/>
    <w:rsid w:val="00F85576"/>
    <w:rsid w:val="00F86E37"/>
    <w:rsid w:val="00F9175C"/>
    <w:rsid w:val="00F96304"/>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591E8"/>
  <w15:docId w15:val="{D386E776-E736-43F5-B440-94B392DD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iPriority w:val="9"/>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basedOn w:val="Normal"/>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semiHidden/>
    <w:rsid w:val="00D15D21"/>
    <w:rPr>
      <w:rFonts w:ascii="Calibri" w:eastAsia="SimSun" w:hAnsi="Calibri" w:cs="Times New Roman"/>
      <w:kern w:val="0"/>
      <w:sz w:val="20"/>
      <w:szCs w:val="20"/>
      <w:lang w:eastAsia="zh-CN"/>
    </w:rPr>
  </w:style>
  <w:style w:type="character" w:styleId="FootnoteReference">
    <w:name w:val="footnote reference"/>
    <w:unhideWhenUsed/>
    <w:rsid w:val="00D15D21"/>
    <w:rPr>
      <w:vertAlign w:val="superscript"/>
    </w:rPr>
  </w:style>
  <w:style w:type="character" w:styleId="Emphasis">
    <w:name w:val="Emphasis"/>
    <w:basedOn w:val="DefaultParagraphFont"/>
    <w:uiPriority w:val="20"/>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2">
    <w:name w:val="Unresolved Mention2"/>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body"/>
    <w:link w:val="NoSpacingChar"/>
    <w:uiPriority w:val="1"/>
    <w:qFormat/>
    <w:rsid w:val="00906ADB"/>
    <w:pPr>
      <w:bidi/>
      <w:spacing w:after="0" w:line="240" w:lineRule="auto"/>
    </w:pPr>
  </w:style>
  <w:style w:type="character" w:customStyle="1" w:styleId="Heading2Char">
    <w:name w:val="Heading 2 Char"/>
    <w:basedOn w:val="DefaultParagraphFont"/>
    <w:link w:val="Heading2"/>
    <w:uiPriority w:val="9"/>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uiPriority w:val="9"/>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semiHidden/>
    <w:unhideWhenUsed/>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A689F"/>
    <w:rPr>
      <w:rFonts w:ascii="Segoe UI" w:hAnsi="Segoe UI" w:cs="Segoe UI"/>
      <w:kern w:val="0"/>
      <w:sz w:val="18"/>
      <w:szCs w:val="18"/>
    </w:rPr>
  </w:style>
  <w:style w:type="table" w:styleId="TableGrid">
    <w:name w:val="Table Grid"/>
    <w:basedOn w:val="TableNormal"/>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1">
    <w:name w:val="Plain Table 11"/>
    <w:basedOn w:val="TableNormal"/>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rsid w:val="00DA689F"/>
  </w:style>
  <w:style w:type="table" w:customStyle="1" w:styleId="GridTable1Light1">
    <w:name w:val="Grid Table 1 Light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1">
    <w:name w:val="Grid Table 1 Light - Accent 3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0">
    <w:name w:val="Plain Table 11"/>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0">
    <w:name w:val="Table Grid Light1"/>
    <w:basedOn w:val="TableNormal"/>
    <w:next w:val="TableGridLight1"/>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0">
    <w:name w:val="Plain Table 31"/>
    <w:basedOn w:val="TableNormal"/>
    <w:next w:val="PlainTable31"/>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0">
    <w:name w:val="Grid Table 1 Light1"/>
    <w:basedOn w:val="TableNormal"/>
    <w:next w:val="GridTable1Light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1">
    <w:name w:val="A11"/>
    <w:uiPriority w:val="99"/>
    <w:rsid w:val="00DA689F"/>
    <w:rPr>
      <w:rFonts w:cs="Cambria"/>
      <w:color w:val="000000"/>
      <w:sz w:val="18"/>
      <w:szCs w:val="18"/>
    </w:rPr>
  </w:style>
  <w:style w:type="table" w:customStyle="1" w:styleId="GridTable1Light-Accent110">
    <w:name w:val="Grid Table 1 Light - Accent 11"/>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1">
    <w:name w:val="Grid Table 5 Dark1"/>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iPriority w:val="99"/>
    <w:semiHidden/>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0">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1">
    <w:name w:val="Plain Table 41"/>
    <w:basedOn w:val="TableNormal"/>
    <w:uiPriority w:val="44"/>
    <w:rsid w:val="00DA689F"/>
    <w:pPr>
      <w:spacing w:before="100" w:beforeAutospacing="1" w:after="240" w:line="240" w:lineRule="auto"/>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semiHidden/>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99"/>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1">
    <w:name w:val="Grid Table 1 Light - Accent 6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A689F"/>
    <w:pPr>
      <w:spacing w:before="100" w:beforeAutospacing="1" w:after="240" w:line="240" w:lineRule="auto"/>
      <w:jc w:val="both"/>
    </w:pPr>
    <w:rPr>
      <w:kern w:val="0"/>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rPr>
      <w:rFonts w:ascii="Times New Roman" w:eastAsia="Calibri" w:hAnsi="Times New Roman" w:cs="Times New Roman"/>
      <w:b/>
      <w:iCs/>
      <w:kern w:val="0"/>
      <w:sz w:val="24"/>
      <w:szCs w:val="24"/>
    </w:rPr>
  </w:style>
  <w:style w:type="character" w:customStyle="1" w:styleId="TABChar">
    <w:name w:val="TAB Char"/>
    <w:basedOn w:val="CaptionChar"/>
    <w:link w:val="TAB"/>
    <w:rsid w:val="00DA689F"/>
    <w:rPr>
      <w:rFonts w:ascii="Times New Roman" w:eastAsia="Times New Roman" w:hAnsi="Times New Roman" w:cs="Times New Roman"/>
      <w:b/>
      <w:iCs/>
      <w:kern w:val="0"/>
      <w:sz w:val="24"/>
      <w:szCs w:val="24"/>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rPr>
      <w:rFonts w:ascii="Times New Roman" w:eastAsia="Calibri" w:hAnsi="Times New Roman" w:cs="Times New Roman"/>
      <w:b/>
      <w:iCs/>
      <w:kern w:val="0"/>
      <w:sz w:val="24"/>
      <w:szCs w:val="24"/>
    </w:rPr>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iPriority w:val="9"/>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val="en-IN" w:eastAsia="e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eastAsia="Calibri" w:hAnsi="Consolas" w:cs="Times New Roman"/>
      <w:b/>
      <w:iCs/>
      <w:kern w:val="0"/>
      <w:sz w:val="24"/>
      <w:szCs w:val="24"/>
    </w:rPr>
  </w:style>
  <w:style w:type="character" w:customStyle="1" w:styleId="SectionNumber">
    <w:name w:val="Section Number"/>
    <w:basedOn w:val="CaptionChar"/>
    <w:rsid w:val="00C64789"/>
    <w:rPr>
      <w:rFonts w:ascii="Times New Roman" w:eastAsia="Calibri" w:hAnsi="Times New Roman" w:cs="Times New Roman"/>
      <w:b/>
      <w:iCs/>
      <w:kern w:val="0"/>
      <w:sz w:val="24"/>
      <w:szCs w:val="24"/>
    </w:rPr>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rFonts w:ascii="Consolas" w:eastAsia="Calibri" w:hAnsi="Consolas" w:cs="Times New Roman"/>
      <w:b/>
      <w:iCs/>
      <w:color w:val="007020"/>
      <w:kern w:val="0"/>
      <w:sz w:val="24"/>
      <w:szCs w:val="24"/>
    </w:rPr>
  </w:style>
  <w:style w:type="character" w:customStyle="1" w:styleId="DataTypeTok">
    <w:name w:val="DataTypeTok"/>
    <w:basedOn w:val="VerbatimChar"/>
    <w:rsid w:val="00C64789"/>
    <w:rPr>
      <w:rFonts w:ascii="Consolas" w:eastAsia="Calibri" w:hAnsi="Consolas" w:cs="Times New Roman"/>
      <w:b/>
      <w:iCs/>
      <w:color w:val="902000"/>
      <w:kern w:val="0"/>
      <w:sz w:val="24"/>
      <w:szCs w:val="24"/>
    </w:rPr>
  </w:style>
  <w:style w:type="character" w:customStyle="1" w:styleId="DecValTok">
    <w:name w:val="DecValTok"/>
    <w:basedOn w:val="VerbatimChar"/>
    <w:rsid w:val="00C64789"/>
    <w:rPr>
      <w:rFonts w:ascii="Consolas" w:eastAsia="Calibri" w:hAnsi="Consolas" w:cs="Times New Roman"/>
      <w:b/>
      <w:iCs/>
      <w:color w:val="40A070"/>
      <w:kern w:val="0"/>
      <w:sz w:val="24"/>
      <w:szCs w:val="24"/>
    </w:rPr>
  </w:style>
  <w:style w:type="character" w:customStyle="1" w:styleId="BaseNTok">
    <w:name w:val="BaseNTok"/>
    <w:basedOn w:val="VerbatimChar"/>
    <w:rsid w:val="00C64789"/>
    <w:rPr>
      <w:rFonts w:ascii="Consolas" w:eastAsia="Calibri" w:hAnsi="Consolas" w:cs="Times New Roman"/>
      <w:b/>
      <w:iCs/>
      <w:color w:val="40A070"/>
      <w:kern w:val="0"/>
      <w:sz w:val="24"/>
      <w:szCs w:val="24"/>
    </w:rPr>
  </w:style>
  <w:style w:type="character" w:customStyle="1" w:styleId="FloatTok">
    <w:name w:val="FloatTok"/>
    <w:basedOn w:val="VerbatimChar"/>
    <w:rsid w:val="00C64789"/>
    <w:rPr>
      <w:rFonts w:ascii="Consolas" w:eastAsia="Calibri" w:hAnsi="Consolas" w:cs="Times New Roman"/>
      <w:b/>
      <w:iCs/>
      <w:color w:val="40A070"/>
      <w:kern w:val="0"/>
      <w:sz w:val="24"/>
      <w:szCs w:val="24"/>
    </w:rPr>
  </w:style>
  <w:style w:type="character" w:customStyle="1" w:styleId="ConstantTok">
    <w:name w:val="ConstantTok"/>
    <w:basedOn w:val="VerbatimChar"/>
    <w:rsid w:val="00C64789"/>
    <w:rPr>
      <w:rFonts w:ascii="Consolas" w:eastAsia="Calibri" w:hAnsi="Consolas" w:cs="Times New Roman"/>
      <w:b/>
      <w:iCs/>
      <w:color w:val="880000"/>
      <w:kern w:val="0"/>
      <w:sz w:val="24"/>
      <w:szCs w:val="24"/>
    </w:rPr>
  </w:style>
  <w:style w:type="character" w:customStyle="1" w:styleId="CharTok">
    <w:name w:val="CharTok"/>
    <w:basedOn w:val="VerbatimChar"/>
    <w:rsid w:val="00C64789"/>
    <w:rPr>
      <w:rFonts w:ascii="Consolas" w:eastAsia="Calibri" w:hAnsi="Consolas" w:cs="Times New Roman"/>
      <w:b/>
      <w:iCs/>
      <w:color w:val="4070A0"/>
      <w:kern w:val="0"/>
      <w:sz w:val="24"/>
      <w:szCs w:val="24"/>
    </w:rPr>
  </w:style>
  <w:style w:type="character" w:customStyle="1" w:styleId="SpecialCharTok">
    <w:name w:val="SpecialCharTok"/>
    <w:basedOn w:val="VerbatimChar"/>
    <w:rsid w:val="00C64789"/>
    <w:rPr>
      <w:rFonts w:ascii="Consolas" w:eastAsia="Calibri" w:hAnsi="Consolas" w:cs="Times New Roman"/>
      <w:b/>
      <w:iCs/>
      <w:color w:val="4070A0"/>
      <w:kern w:val="0"/>
      <w:sz w:val="24"/>
      <w:szCs w:val="24"/>
    </w:rPr>
  </w:style>
  <w:style w:type="character" w:customStyle="1" w:styleId="StringTok">
    <w:name w:val="StringTok"/>
    <w:basedOn w:val="VerbatimChar"/>
    <w:rsid w:val="00C64789"/>
    <w:rPr>
      <w:rFonts w:ascii="Consolas" w:eastAsia="Calibri" w:hAnsi="Consolas" w:cs="Times New Roman"/>
      <w:b/>
      <w:iCs/>
      <w:color w:val="4070A0"/>
      <w:kern w:val="0"/>
      <w:sz w:val="24"/>
      <w:szCs w:val="24"/>
    </w:rPr>
  </w:style>
  <w:style w:type="character" w:customStyle="1" w:styleId="VerbatimStringTok">
    <w:name w:val="VerbatimStringTok"/>
    <w:basedOn w:val="VerbatimChar"/>
    <w:rsid w:val="00C64789"/>
    <w:rPr>
      <w:rFonts w:ascii="Consolas" w:eastAsia="Calibri" w:hAnsi="Consolas" w:cs="Times New Roman"/>
      <w:b/>
      <w:iCs/>
      <w:color w:val="4070A0"/>
      <w:kern w:val="0"/>
      <w:sz w:val="24"/>
      <w:szCs w:val="24"/>
    </w:rPr>
  </w:style>
  <w:style w:type="character" w:customStyle="1" w:styleId="SpecialStringTok">
    <w:name w:val="SpecialStringTok"/>
    <w:basedOn w:val="VerbatimChar"/>
    <w:rsid w:val="00C64789"/>
    <w:rPr>
      <w:rFonts w:ascii="Consolas" w:eastAsia="Calibri" w:hAnsi="Consolas" w:cs="Times New Roman"/>
      <w:b/>
      <w:iCs/>
      <w:color w:val="BB6688"/>
      <w:kern w:val="0"/>
      <w:sz w:val="24"/>
      <w:szCs w:val="24"/>
    </w:rPr>
  </w:style>
  <w:style w:type="character" w:customStyle="1" w:styleId="ImportTok">
    <w:name w:val="ImportTok"/>
    <w:basedOn w:val="VerbatimChar"/>
    <w:rsid w:val="00C64789"/>
    <w:rPr>
      <w:rFonts w:ascii="Consolas" w:eastAsia="Calibri" w:hAnsi="Consolas" w:cs="Times New Roman"/>
      <w:b/>
      <w:iCs/>
      <w:color w:val="008000"/>
      <w:kern w:val="0"/>
      <w:sz w:val="24"/>
      <w:szCs w:val="24"/>
    </w:rPr>
  </w:style>
  <w:style w:type="character" w:customStyle="1" w:styleId="CommentTok">
    <w:name w:val="CommentTok"/>
    <w:basedOn w:val="VerbatimChar"/>
    <w:rsid w:val="00C64789"/>
    <w:rPr>
      <w:rFonts w:ascii="Consolas" w:eastAsia="Calibri" w:hAnsi="Consolas" w:cs="Times New Roman"/>
      <w:b/>
      <w:i/>
      <w:iCs/>
      <w:color w:val="60A0B0"/>
      <w:kern w:val="0"/>
      <w:sz w:val="24"/>
      <w:szCs w:val="24"/>
    </w:rPr>
  </w:style>
  <w:style w:type="character" w:customStyle="1" w:styleId="DocumentationTok">
    <w:name w:val="DocumentationTok"/>
    <w:basedOn w:val="VerbatimChar"/>
    <w:rsid w:val="00C64789"/>
    <w:rPr>
      <w:rFonts w:ascii="Consolas" w:eastAsia="Calibri" w:hAnsi="Consolas" w:cs="Times New Roman"/>
      <w:b/>
      <w:i/>
      <w:iCs/>
      <w:color w:val="BA2121"/>
      <w:kern w:val="0"/>
      <w:sz w:val="24"/>
      <w:szCs w:val="24"/>
    </w:rPr>
  </w:style>
  <w:style w:type="character" w:customStyle="1" w:styleId="AnnotationTok">
    <w:name w:val="AnnotationTok"/>
    <w:basedOn w:val="VerbatimChar"/>
    <w:rsid w:val="00C64789"/>
    <w:rPr>
      <w:rFonts w:ascii="Consolas" w:eastAsia="Calibri" w:hAnsi="Consolas" w:cs="Times New Roman"/>
      <w:b/>
      <w:i/>
      <w:iCs/>
      <w:color w:val="60A0B0"/>
      <w:kern w:val="0"/>
      <w:sz w:val="24"/>
      <w:szCs w:val="24"/>
    </w:rPr>
  </w:style>
  <w:style w:type="character" w:customStyle="1" w:styleId="CommentVarTok">
    <w:name w:val="CommentVarTok"/>
    <w:basedOn w:val="VerbatimChar"/>
    <w:rsid w:val="00C64789"/>
    <w:rPr>
      <w:rFonts w:ascii="Consolas" w:eastAsia="Calibri" w:hAnsi="Consolas" w:cs="Times New Roman"/>
      <w:b/>
      <w:i/>
      <w:iCs/>
      <w:color w:val="60A0B0"/>
      <w:kern w:val="0"/>
      <w:sz w:val="24"/>
      <w:szCs w:val="24"/>
    </w:rPr>
  </w:style>
  <w:style w:type="character" w:customStyle="1" w:styleId="OtherTok">
    <w:name w:val="OtherTok"/>
    <w:basedOn w:val="VerbatimChar"/>
    <w:rsid w:val="00C64789"/>
    <w:rPr>
      <w:rFonts w:ascii="Consolas" w:eastAsia="Calibri" w:hAnsi="Consolas" w:cs="Times New Roman"/>
      <w:b/>
      <w:iCs/>
      <w:color w:val="007020"/>
      <w:kern w:val="0"/>
      <w:sz w:val="24"/>
      <w:szCs w:val="24"/>
    </w:rPr>
  </w:style>
  <w:style w:type="character" w:customStyle="1" w:styleId="FunctionTok">
    <w:name w:val="FunctionTok"/>
    <w:basedOn w:val="VerbatimChar"/>
    <w:rsid w:val="00C64789"/>
    <w:rPr>
      <w:rFonts w:ascii="Consolas" w:eastAsia="Calibri" w:hAnsi="Consolas" w:cs="Times New Roman"/>
      <w:b/>
      <w:iCs/>
      <w:color w:val="06287E"/>
      <w:kern w:val="0"/>
      <w:sz w:val="24"/>
      <w:szCs w:val="24"/>
    </w:rPr>
  </w:style>
  <w:style w:type="character" w:customStyle="1" w:styleId="VariableTok">
    <w:name w:val="VariableTok"/>
    <w:basedOn w:val="VerbatimChar"/>
    <w:rsid w:val="00C64789"/>
    <w:rPr>
      <w:rFonts w:ascii="Consolas" w:eastAsia="Calibri" w:hAnsi="Consolas" w:cs="Times New Roman"/>
      <w:b/>
      <w:iCs/>
      <w:color w:val="19177C"/>
      <w:kern w:val="0"/>
      <w:sz w:val="24"/>
      <w:szCs w:val="24"/>
    </w:rPr>
  </w:style>
  <w:style w:type="character" w:customStyle="1" w:styleId="ControlFlowTok">
    <w:name w:val="ControlFlowTok"/>
    <w:basedOn w:val="VerbatimChar"/>
    <w:rsid w:val="00C64789"/>
    <w:rPr>
      <w:rFonts w:ascii="Consolas" w:eastAsia="Calibri" w:hAnsi="Consolas" w:cs="Times New Roman"/>
      <w:b/>
      <w:iCs/>
      <w:color w:val="007020"/>
      <w:kern w:val="0"/>
      <w:sz w:val="24"/>
      <w:szCs w:val="24"/>
    </w:rPr>
  </w:style>
  <w:style w:type="character" w:customStyle="1" w:styleId="OperatorTok">
    <w:name w:val="OperatorTok"/>
    <w:basedOn w:val="VerbatimChar"/>
    <w:rsid w:val="00C64789"/>
    <w:rPr>
      <w:rFonts w:ascii="Consolas" w:eastAsia="Calibri" w:hAnsi="Consolas" w:cs="Times New Roman"/>
      <w:b/>
      <w:iCs/>
      <w:color w:val="666666"/>
      <w:kern w:val="0"/>
      <w:sz w:val="24"/>
      <w:szCs w:val="24"/>
    </w:rPr>
  </w:style>
  <w:style w:type="character" w:customStyle="1" w:styleId="BuiltInTok">
    <w:name w:val="BuiltInTok"/>
    <w:basedOn w:val="VerbatimChar"/>
    <w:rsid w:val="00C64789"/>
    <w:rPr>
      <w:rFonts w:ascii="Consolas" w:eastAsia="Calibri" w:hAnsi="Consolas" w:cs="Times New Roman"/>
      <w:b/>
      <w:iCs/>
      <w:color w:val="008000"/>
      <w:kern w:val="0"/>
      <w:sz w:val="24"/>
      <w:szCs w:val="24"/>
    </w:rPr>
  </w:style>
  <w:style w:type="character" w:customStyle="1" w:styleId="ExtensionTok">
    <w:name w:val="ExtensionTok"/>
    <w:basedOn w:val="VerbatimChar"/>
    <w:rsid w:val="00C64789"/>
    <w:rPr>
      <w:rFonts w:ascii="Consolas" w:eastAsia="Calibri" w:hAnsi="Consolas" w:cs="Times New Roman"/>
      <w:b/>
      <w:iCs/>
      <w:kern w:val="0"/>
      <w:sz w:val="24"/>
      <w:szCs w:val="24"/>
    </w:rPr>
  </w:style>
  <w:style w:type="character" w:customStyle="1" w:styleId="PreprocessorTok">
    <w:name w:val="PreprocessorTok"/>
    <w:basedOn w:val="VerbatimChar"/>
    <w:rsid w:val="00C64789"/>
    <w:rPr>
      <w:rFonts w:ascii="Consolas" w:eastAsia="Calibri" w:hAnsi="Consolas" w:cs="Times New Roman"/>
      <w:b/>
      <w:iCs/>
      <w:color w:val="BC7A00"/>
      <w:kern w:val="0"/>
      <w:sz w:val="24"/>
      <w:szCs w:val="24"/>
    </w:rPr>
  </w:style>
  <w:style w:type="character" w:customStyle="1" w:styleId="AttributeTok">
    <w:name w:val="AttributeTok"/>
    <w:basedOn w:val="VerbatimChar"/>
    <w:rsid w:val="00C64789"/>
    <w:rPr>
      <w:rFonts w:ascii="Consolas" w:eastAsia="Calibri" w:hAnsi="Consolas" w:cs="Times New Roman"/>
      <w:b/>
      <w:iCs/>
      <w:color w:val="7D9029"/>
      <w:kern w:val="0"/>
      <w:sz w:val="24"/>
      <w:szCs w:val="24"/>
    </w:rPr>
  </w:style>
  <w:style w:type="character" w:customStyle="1" w:styleId="RegionMarkerTok">
    <w:name w:val="RegionMarkerTok"/>
    <w:basedOn w:val="VerbatimChar"/>
    <w:rsid w:val="00C64789"/>
    <w:rPr>
      <w:rFonts w:ascii="Consolas" w:eastAsia="Calibri" w:hAnsi="Consolas" w:cs="Times New Roman"/>
      <w:b/>
      <w:iCs/>
      <w:kern w:val="0"/>
      <w:sz w:val="24"/>
      <w:szCs w:val="24"/>
    </w:rPr>
  </w:style>
  <w:style w:type="character" w:customStyle="1" w:styleId="InformationTok">
    <w:name w:val="InformationTok"/>
    <w:basedOn w:val="VerbatimChar"/>
    <w:rsid w:val="00C64789"/>
    <w:rPr>
      <w:rFonts w:ascii="Consolas" w:eastAsia="Calibri" w:hAnsi="Consolas" w:cs="Times New Roman"/>
      <w:b/>
      <w:i/>
      <w:iCs/>
      <w:color w:val="60A0B0"/>
      <w:kern w:val="0"/>
      <w:sz w:val="24"/>
      <w:szCs w:val="24"/>
    </w:rPr>
  </w:style>
  <w:style w:type="character" w:customStyle="1" w:styleId="WarningTok">
    <w:name w:val="WarningTok"/>
    <w:basedOn w:val="VerbatimChar"/>
    <w:rsid w:val="00C64789"/>
    <w:rPr>
      <w:rFonts w:ascii="Consolas" w:eastAsia="Calibri" w:hAnsi="Consolas" w:cs="Times New Roman"/>
      <w:b/>
      <w:i/>
      <w:iCs/>
      <w:color w:val="60A0B0"/>
      <w:kern w:val="0"/>
      <w:sz w:val="24"/>
      <w:szCs w:val="24"/>
    </w:rPr>
  </w:style>
  <w:style w:type="character" w:customStyle="1" w:styleId="AlertTok">
    <w:name w:val="AlertTok"/>
    <w:basedOn w:val="VerbatimChar"/>
    <w:rsid w:val="00C64789"/>
    <w:rPr>
      <w:rFonts w:ascii="Consolas" w:eastAsia="Calibri" w:hAnsi="Consolas" w:cs="Times New Roman"/>
      <w:b/>
      <w:iCs/>
      <w:color w:val="FF0000"/>
      <w:kern w:val="0"/>
      <w:sz w:val="24"/>
      <w:szCs w:val="24"/>
    </w:rPr>
  </w:style>
  <w:style w:type="character" w:customStyle="1" w:styleId="ErrorTok">
    <w:name w:val="ErrorTok"/>
    <w:basedOn w:val="VerbatimChar"/>
    <w:rsid w:val="00C64789"/>
    <w:rPr>
      <w:rFonts w:ascii="Consolas" w:eastAsia="Calibri" w:hAnsi="Consolas" w:cs="Times New Roman"/>
      <w:b/>
      <w:iCs/>
      <w:color w:val="FF0000"/>
      <w:kern w:val="0"/>
      <w:sz w:val="24"/>
      <w:szCs w:val="24"/>
    </w:rPr>
  </w:style>
  <w:style w:type="character" w:customStyle="1" w:styleId="NormalTok">
    <w:name w:val="NormalTok"/>
    <w:basedOn w:val="VerbatimChar"/>
    <w:rsid w:val="00C64789"/>
    <w:rPr>
      <w:rFonts w:ascii="Consolas" w:eastAsia="Calibri" w:hAnsi="Consolas" w:cs="Times New Roman"/>
      <w:b/>
      <w:iCs/>
      <w:kern w:val="0"/>
      <w:sz w:val="24"/>
      <w:szCs w:val="24"/>
    </w:rPr>
  </w:style>
  <w:style w:type="character" w:styleId="UnresolvedMention">
    <w:name w:val="Unresolved Mention"/>
    <w:basedOn w:val="DefaultParagraphFont"/>
    <w:uiPriority w:val="99"/>
    <w:semiHidden/>
    <w:unhideWhenUsed/>
    <w:rsid w:val="00C9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8222">
      <w:bodyDiv w:val="1"/>
      <w:marLeft w:val="0"/>
      <w:marRight w:val="0"/>
      <w:marTop w:val="0"/>
      <w:marBottom w:val="0"/>
      <w:divBdr>
        <w:top w:val="none" w:sz="0" w:space="0" w:color="auto"/>
        <w:left w:val="none" w:sz="0" w:space="0" w:color="auto"/>
        <w:bottom w:val="none" w:sz="0" w:space="0" w:color="auto"/>
        <w:right w:val="none" w:sz="0" w:space="0" w:color="auto"/>
      </w:divBdr>
    </w:div>
    <w:div w:id="51972897">
      <w:bodyDiv w:val="1"/>
      <w:marLeft w:val="0"/>
      <w:marRight w:val="0"/>
      <w:marTop w:val="0"/>
      <w:marBottom w:val="0"/>
      <w:divBdr>
        <w:top w:val="none" w:sz="0" w:space="0" w:color="auto"/>
        <w:left w:val="none" w:sz="0" w:space="0" w:color="auto"/>
        <w:bottom w:val="none" w:sz="0" w:space="0" w:color="auto"/>
        <w:right w:val="none" w:sz="0" w:space="0" w:color="auto"/>
      </w:divBdr>
    </w:div>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400444322">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41790204">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567690695">
      <w:bodyDiv w:val="1"/>
      <w:marLeft w:val="0"/>
      <w:marRight w:val="0"/>
      <w:marTop w:val="0"/>
      <w:marBottom w:val="0"/>
      <w:divBdr>
        <w:top w:val="none" w:sz="0" w:space="0" w:color="auto"/>
        <w:left w:val="none" w:sz="0" w:space="0" w:color="auto"/>
        <w:bottom w:val="none" w:sz="0" w:space="0" w:color="auto"/>
        <w:right w:val="none" w:sz="0" w:space="0" w:color="auto"/>
      </w:divBdr>
    </w:div>
    <w:div w:id="1580476986">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674649742">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2026.39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
    <b:Tag>UnityB22</b:Tag>
    <b:SourceType>Report</b:SourceType>
    <b:Guid>{8d8f9e5a-2148-40d9-8cf9-94f24aaf1e81}</b:Guid>
    <b:Title>Annual report and financial statements 2022</b:Title>
    <b:Year>2022</b:Year>
    <b:Author>
      <b:Author>
        <b:NameList>
          <b:Person>
            <b:Last>Unity</b:Last>
            <b:First>Bank</b:First>
          </b:Person>
        </b:NameList>
      </b:Author>
    </b:Author>
    <b:JenniData>z:FczBDcIwDIXhiAMzcEHKnQvqBiBWYIBQO5Vpale2A/QGY3U7muvT/73fGnZZlAbiAG/RcQ370gu70qO6qLUAOE3YwpwmKgvemXzBgV7IcE08gkrB8CSzinBLjtCdu26w+vBl3mBAJy/4OV2YaypRcRb1mBhiJk7c0zaab3BCdotNZ5eZevtCuzgc/w==</b:JenniData>
  </b:Source>
  <b:Source>
    <b:Tag>KouassiK22</b:Tag>
    <b:SourceType>JournalArticle</b:SourceType>
    <b:Guid>{040746c8-d82c-43f8-b59d-575eaabe5d33}</b:Guid>
    <b:Title>Female directors and firm profitability: Evidence from West Africa</b:Title>
    <b:Year>2022</b:Year>
    <b:Author>
      <b:Author>
        <b:NameList>
          <b:Person>
            <b:Last>Kouassi</b:Last>
            <b:First>K.</b:First>
          </b:Person>
          <b:Person>
            <b:Last>Traore</b:Last>
            <b:First>M.</b:First>
          </b:Person>
        </b:NameList>
      </b:Author>
    </b:Author>
    <b:JenniData>z:Zc4xjsIwEIVha4vVHsMnWKGUdCCgQXRI1BPPOBqwPdF4AqQDbsXtIBId/fee/vvT/URR7rg4vIienu43BSmm3A4mWh9vgAUyTTBC5jR2WxmgVqaOz1Ta7T+qJHLfMO4VROnjdh935FoHwhUYYTNrmq4OrY39e+fI2BJdlxvKkMgjK4UpwkNBH1mz71UiG7Sc2Ma5X58ZqQTyUSX7A1Xzi6gcIJr0HOoNp+e/Fw==</b:JenniData>
  </b:Source>
  <b:Source>
    <b:Tag>HambrickD84</b:Tag>
    <b:SourceType>JournalArticle</b:SourceType>
    <b:Guid>{012ac331-8f84-4b0e-8e73-95cdfc996eb2}</b:Guid>
    <b:Title>Upper Echelons: The Organization as a Reflection of Its Top Managers</b:Title>
    <b:Year>1984</b:Year>
    <b:URL>https://doi.org/10.5465/amr.1984.4277628</b:URL>
    <b:DOI>10.5465/amr.1984.4277628</b:DOI>
    <b:Author>
      <b:Author>
        <b:NameList>
          <b:Person>
            <b:Last>Hambrick</b:Last>
            <b:First>Donald C.</b:First>
          </b:Person>
          <b:Person>
            <b:Last>Mason</b:Last>
            <b:First>Phyllis A.</b:First>
          </b:Person>
        </b:NameList>
      </b:Author>
    </b:Author>
    <b:JenniData>z: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</b:JenniData>
  </b:Source>
  <b:Source>
    <b:Tag>KouaJ23</b:Tag>
    <b:SourceType>JournalArticle</b:SourceType>
    <b:Guid>{2e2ee2ae-9063-43e7-a46f-93a0816d5ad6}</b:Guid>
    <b:Title>Bank intermediation, profitability, and economic growth in Nigeria</b:Title>
    <b:Year>2023</b:Year>
    <b:Author>
      <b:Author>
        <b:NameList>
          <b:Person>
            <b:Last>Koua</b:Last>
            <b:First>J.</b:First>
          </b:Person>
        </b:NameList>
      </b:Author>
    </b:Author>
    <b:JenniData>z:FY3NzcIwDIaj7/CJMTIAQgg2QJxAYge3dsMLaVw5LtAbjMV2tPfn5/MNf50aEkrgp9r9G/5zq8UNzehqdQG4UC8L2FGPPPFZR5KEh5TmtGHTLOGGWkfhI7nwbrvbpzo2Pg2zFcThWV6HA5V7RHGxXhjk0LKOg2kHpwYZPq0jFY4y77VHG5Pp06+zEi9IYqDOdUBb37yUVz8=</b:JenniData>
  </b:Source>
  <b:Source>
    <b:Tag>MensahK23</b:Tag>
    <b:SourceType>JournalArticle</b:SourceType>
    <b:Guid>{54395fe3-9623-4f23-9f03-0c8e1e3f3ba0}</b:Guid>
    <b:Title>Board independence, gender diversity, and firm profitability in sub-Saharan Africa</b:Title>
    <b:Year>2023</b:Year>
    <b:Author>
      <b:Author>
        <b:NameList>
          <b:Person>
            <b:Last>Mensah</b:Last>
            <b:First>K.</b:First>
          </b:Person>
          <b:Person>
            <b:Last>Boateng</b:Last>
            <b:First>R.</b:First>
          </b:Person>
        </b:NameList>
      </b:Author>
    </b:Author>
    <b:JenniData>z:ZY1BbsJADEVHXVQ9xhyAVhU9Qavuqm7oCZzYM7hMPJHHAbIDbsXtcCR2bCzLfu//8zU8paqcWQIequ6u4bn0VUy5m6xquziAAgMtYIKBy5x+SRpsKfOepPt5Q62FwiOXvyoYSb6Dmzv4z61NhN/+w/X7+iO3qbN5dDGQsRU6blxUjCxII/mQnlYxL5tG9CxtbPMqgmBMrEMctSY26Lj43bXoia9/sAUFiZ9JuYdkdeS+nXBperkB</b:JenniData>
  </b:Source>
  <b:Source>
    <b:Tag>BankF22</b:Tag>
    <b:SourceType>Report</b:SourceType>
    <b:Guid>{c7f92d9d-6e9e-46f3-9539-e1c11dc533b3}</b:Guid>
    <b:Title>Annual report and financial statements 2021</b:Title>
    <b:Year>2022</b:Year>
    <b:URL>https://www.fidelitybank.ng</b:URL>
    <b:Author>
      <b:Author>
        <b:NameList>
          <b:Person>
            <b:Last>Bank</b:Last>
            <b:First>Fidelity</b:First>
          </b:Person>
        </b:NameList>
      </b:Author>
    </b:Author>
    <b:JenniData>z:LY5BDoIwEEUbN17BxJiwNxFl6U5jvEdhpjBSpqSdWtjpsbidJXH7897//7uojXGeWmIFyfl+UVvbOBZPdRTnwwoA6wFX0OiB7Ax3zT229EbungRoSWbwzqJ6UQgR4aEFoTpXVRtiLfOYXYVCYnE63pijtoXH0XkpNENhiDU3lMMgWRyQJRTZvhhxIzXhA2vF7tBEb6d9JzKGa1mmlE7mP17nPydufw==</b:JenniData>
  </b:Source>
  <b:Source>
    <b:Tag>OseiE24</b:Tag>
    <b:SourceType>JournalArticle</b:SourceType>
    <b:Guid>{cdb5be6d-4b30-45af-8b62-665db1838c8f}</b:Guid>
    <b:Title>Profitability and governance in Nigerian banks: The moderating role of firm age</b:Title>
    <b:Year>2024</b:Year>
    <b:Author>
      <b:Author>
        <b:NameList>
          <b:Person>
            <b:Last>Osei</b:Last>
            <b:First>E.</b:First>
          </b:Person>
          <b:Person>
            <b:Last>Adomako</b:Last>
            <b:First>S.</b:First>
          </b:Person>
        </b:NameList>
      </b:Author>
    </b:Author>
    <b:JenniData>z:Zc0xTgNBDEDRFQXiGD4BQhEVHRK0BAku4Fl7BrMzduTxBraD3Cq3S1ZKl/59/f/jcJPNpYgO9GM+HYfbOpqGS5rDvB/OgBQbrzBjk7rQtrNwkT1rer0nt8rDtSrPZA0nu8CPC/yW3memFwymzcPmsfQ5xbI7hwOHROXf7btblsAkVWIBVIJie3ZFHRlE4U0Ku6BCQp36E3x+MTQjdgzRAusGLEMWb4CFc9hOxv5H6+buBA==</b:JenniData>
  </b:Source>
  <b:Source>
    <b:Tag>OkaforC21</b:Tag>
    <b:SourceType>JournalArticle</b:SourceType>
    <b:Guid>{745e9618-b271-41ab-a4f7-0868db34ff55}</b:Guid>
    <b:Title>Firm age, governance reforms and performance in Nigerian banks</b:Title>
    <b:Year>2021</b:Year>
    <b:Author>
      <b:Author>
        <b:NameList>
          <b:Person>
            <b:Last>Okafor</b:Last>
            <b:First>C.</b:First>
          </b:Person>
          <b:Person>
            <b:Last>Egbe</b:Last>
            <b:First>M.</b:First>
          </b:Person>
        </b:NameList>
      </b:Author>
    </b:Author>
    <b:JenniData>z:Zc3NDcIwDAXgiANijAyAEHQALvzcgBmcxo1MG6dy0kJvwFbdjhT1xtHW9957j2pRBSFHrOwjSD2qZVMGTkKmS0HiJwPL4HGCFXhqhupWQ86gox7ZHDZWQoPq39mTMziry6zuFGOH9ggJbbEtdi52Jg1tTilMlBp87s8kXoPDtXahR2HgErVgXvRRA1vdokzH70+sr+RQCFgb4DpWKbRUxpedWldf</b:JenniData>
  </b:Source>
  <b:Source>
    <b:Tag>ArinD24</b:Tag>
    <b:SourceType>JournalArticle</b:SourceType>
    <b:Guid>{8d4d69de-b274-4dbd-ac6f-bbd396365a70}</b:Guid>
    <b:Title>Dual measures of profitability in Nigerian banks: ROA and ROE perspectives</b:Title>
    <b:Year>2024</b:Year>
    <b:JournalName>Nigerian Journal of Banking and Finance</b:JournalName>
    <b:BookTitle>Nigerian Journal of Banking and Finance</b:BookTitle>
    <b:Volume>16</b:Volume>
    <b:Issue>2</b:Issue>
    <b:Pages>144-163</b:Pages>
    <b:Author>
      <b:Author>
        <b:NameList>
          <b:Person>
            <b:Last>Arin</b:Last>
            <b:First>D.</b:First>
          </b:Person>
          <b:Person>
            <b:Last>Musa</b:Last>
            <b:First>K.</b:First>
          </b:Person>
          <b:Person>
            <b:Last>Bello</b:Last>
            <b:First>T.</b:First>
          </b:Person>
        </b:NameList>
      </b:Author>
    </b:Author>
    <b:JenniData>z:dZA9TgMxEIU3EUVKSkp3dAhFVHSJAhIJEBTlArPrsTPEO7PyTyBdEBfgDpxib4c3WkUU0Nmj743efB9tMTTiyRIX+k38ti1GdSUcgRj9AxtpizMLKW7EhwNSCAmHGCk6fL98JouegNVckmdwSoyaAm+JrQLW6p4YuEKzE5dqPG9Oex+lgii+LQbUgMUVsMVchAz5EF/y5OJr46B/frsu56lMORI+M6cZ6o43Bmpyez3xeamlHXI5u9JeHBZ/UE8pQE8t/qVwis5Jj6177PV4tp5BRD2+Ht/YkMq4b7rYFnykyuE6fwckjGIWxPr3uLc1n6VsqEYIyWPoVDVeDEUoyVHcK2J18llmieFWrZaTo8fV8k416EODVczFgonSUBUOuisx+gE=</b:JenniData>
  </b:Source>
  <b:Source>
    <b:Tag>ArinK24</b:Tag>
    <b:SourceType>JournalArticle</b:SourceType>
    <b:Guid>{45948b7e-e87a-4711-a3b4-d5927afbe28e}</b:Guid>
    <b:Title>Profitability measures and corporate performance: An empirical analysis of listed firms in Nigeria</b:Title>
    <b:Year>2024</b:Year>
    <b:JournalName>African Journal of Accounting Research</b:JournalName>
    <b:BookTitle>African Journal of Accounting Research</b:BookTitle>
    <b:Volume>18</b:Volume>
    <b:Issue>1</b:Issue>
    <b:Pages>55-70</b:Pages>
    <b:URL>https://doi.org/10.1080/ajar.2024.18.1.55</b:URL>
    <b:DOI>10.1080/ajar.2024.18.1.55</b:DOI>
    <b:Author>
      <b:Author>
        <b:NameList>
          <b:Person>
            <b:Last>Arin</b:Last>
            <b:First>K.</b:First>
          </b:Person>
          <b:Person>
            <b:Last>Bello</b:Last>
            <b:First>M.</b:First>
          </b:Person>
          <b:Person>
            <b:Last>Yusuf</b:Last>
            <b:First>A.</b:First>
          </b:Person>
        </b:NameList>
      </b:Author>
    </b:Author>
    <b:JenniData>z:dZFBixQxEIV71IN49KS3nAQvPTOLi8veRkTQVVkWLx6rk0pP7aarmqpknbmN+Kv635mWRgTZS0iKryqv3vs5NY+iKPXETfghejc1zwYvnIEY9SNHmZonPZS8F7UTklnBFWbKCQ+vdlHJA7tPUpQhOYlu570UzsS9u0FDUL+P95LKgM/Hv2M/i4csOjUrGqHHG+Aeqw6KpJava+XF232C5fohzX1KXakt9qtygWGY+RhhoHQMO61De7pH7q7aoJKw+Z/Cd5iSLNiXh7HvxUpcsN2CeQo2NY99EDq83G7a7eZis4Zb0PZsc/am3V602/b8PJB1fKqn8en2j1HhPWQMM9Nb6fJxnD+6A83kE36rzxUJo8Qr4vBvefG3u1aJlKGjRPnoBgQriuaAg/Oio2gd70bUGuAA7PHS7djhMNIcS6ocpKORzbkksirFVYcHc8TuK/WoBDHLSN5OYRb31BdNh9f7nEe7XK/rtq1ov35w4d8=</b:JenniData>
  </b:Source>
  <b:Source>
    <b:Tag>OmondiM19</b:Tag>
    <b:SourceType>JournalArticle</b:SourceType>
    <b:Guid>{da611565-31bf-4ef5-b679-9e4210d76714}</b:Guid>
    <b:Title>Effect of corporate governance practices on financial performance of listed banks in Kenya</b:Title>
    <b:Year>2019</b:Year>
    <b:JournalName>International Journal of Economics, Commerce and Management</b:JournalName>
    <b:BookTitle>International Journal of Economics, Commerce and Management</b:BookTitle>
    <b:Volume>7</b:Volume>
    <b:Issue>6</b:Issue>
    <b:Pages>658-673</b:Pages>
    <b:Author>
      <b:Author>
        <b:NameList>
          <b:Person>
            <b:Last>Omondi</b:Last>
            <b:First>M. M.</b:First>
          </b:Person>
          <b:Person>
            <b:Last>Muturi</b:Last>
            <b:First>W.</b:First>
          </b:Person>
        </b:NameList>
      </b:Author>
    </b:Author>
    <b:JenniData>z:bZFBTgMxDEWnFYJegV0OgCpgh1hCF6WMQAgJiZ1n4kxNE3uUZArdFY7ADTjG3A5PVRALdrH1v/P9/N4XYyeRGuLCvkpc9cUk1MIZiDHO2UlfHDTQ5aXEtEVKqcNDzJQ9vl3OOWNkyCQM3txIp4U34sxMJ0igOp2YKwkBY40G2JoSGBoMyNmtxXcBj9rfv26lhiyxL0bUqugBuEENR45iyvfaOR5/Lj38vL/84IxUdWpKH6q0DGFwOAeB/MbdBWFL2NAaGcupKac2isfiH2nZ5S7updXTXveyW9ZeQ0Z7fnp20aSuypt28K0gZqo9Pmo50u1R3ILY/m3vGT3PnMM6D1Bqia1EnWYaWQ/cWKm0EWr1YDLCxtHQJGXYYtSrhJ1ErZ6ShjAV8CoZYrNA3oDL0irirR1CTb4B</b:JenniData>
  </b:Source>
  <b:Source>
    <b:Tag>AhmedA19</b:Tag>
    <b:SourceType>JournalArticle</b:SourceType>
    <b:Guid>{306dbd43-1eec-4240-b4b1-a8a681a0f6ae}</b:Guid>
    <b:Title>CORPORATE GOVERNANCE AND FINANCIAL PERFORMANCE OF DEPOSIT MONEY BANKS IN NIGERIA</b:Title>
    <b:Year>2019</b:Year>
    <b:JournalName>GOMBE JOURNAL OF ADMINISTRATION AND MANAGEMENT (GJAM)</b:JournalName>
    <b:BookTitle>GOMBE JOURNAL OF ADMINISTRATION AND MANAGEMENT (GJAM)</b:BookTitle>
    <b:Volume>2</b:Volume>
    <b:Issue>3</b:Issue>
    <b:Pages>180-195</b:Pages>
    <b:URL>https://doi.org/10.64290/gjam.v2i3.1242</b:URL>
    <b:DOI>10.64290/gjam.v2i3.1242</b:DOI>
    <b:Author>
      <b:Author>
        <b:NameList>
          <b:Person>
            <b:Last>Ahmed</b:Last>
            <b:First>Ado</b:First>
          </b:Person>
          <b:Person>
            <b:Last>A.</b:Last>
            <b:First>Lamido F.</b:First>
          </b:Person>
          <b:Person>
            <b:Last>Zubairu</b:Last>
            <b:First>Anono Abdurrahman</b:First>
          </b:Person>
          <b:Person>
            <b:Last>Ahmed</b:Last>
            <b:First>Abdulrasheed</b:First>
          </b:Person>
        </b:NameList>
      </b:Author>
    </b:Author>
    <b:JenniData>z: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</b:JenniData>
  </b:Source>
  <b:Source>
    <b:Tag>TerjesenS15</b:Tag>
    <b:SourceType>JournalArticle</b:SourceType>
    <b:Guid>{8dbd1178-540a-43eb-a209-f4ed02307c49}</b:Guid>
    <b:Title>Does the presence of independent and female directors impact firm performance? A multi-country study of board diversity</b:Title>
    <b:Year>2015</b:Year>
    <b:JournalName>Journal of Management &amp; Governance</b:JournalName>
    <b:BookTitle>Journal of Management &amp; Governance</b:BookTitle>
    <b:Volume>20</b:Volume>
    <b:Issue>3</b:Issue>
    <b:Pages>447-483</b:Pages>
    <b:Publisher>Springer Science+Business Media</b:Publisher>
    <b:URL>https://doi.org/10.1007/s10997-014-9307-8</b:URL>
    <b:DOI>10.1007/s10997-014-9307-8</b:DOI>
    <b:Author>
      <b:Author>
        <b:NameList>
          <b:Person>
            <b:Last>Terjesen</b:Last>
            <b:First>Siri</b:First>
          </b:Person>
          <b:Person>
            <b:Last>Couto</b:Last>
            <b:First>Eduardo</b:First>
          </b:Person>
          <b:Person>
            <b:Last>Francisco</b:Last>
            <b:First>Paulo</b:First>
          </b:Person>
        </b:NameList>
      </b:Author>
    </b:Author>
    <b:JenniData>z: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</b:JenniData>
  </b:Source>
  <b:Source>
    <b:Tag>JoecksJ12</b:Tag>
    <b:SourceType>JournalArticle</b:SourceType>
    <b:Guid>{41b2e454-889a-448a-8cb6-bb5980674eea}</b:Guid>
    <b:Title>Gender Diversity in the Boardroom and Firm Performance: What Exactly Constitutes a “Critical Mass?”</b:Title>
    <b:Year>2012</b:Year>
    <b:JournalName>Journal of Business Ethics</b:JournalName>
    <b:BookTitle>Journal of Business Ethics</b:BookTitle>
    <b:Volume>118</b:Volume>
    <b:Issue>1</b:Issue>
    <b:Pages>61-72</b:Pages>
    <b:Publisher>Springer Science+Business Media</b:Publisher>
    <b:URL>https://doi.org/10.1007/s10551-012-1553-6</b:URL>
    <b:DOI>10.1007/s10551-012-1553-6</b:DOI>
    <b:Author>
      <b:Author>
        <b:NameList>
          <b:Person>
            <b:Last>Joecks</b:Last>
            <b:First>Jasmin</b:First>
          </b:Person>
          <b:Person>
            <b:Last>Pull</b:Last>
            <b:First>Kerstin</b:First>
          </b:Person>
          <b:Person>
            <b:Last>Vetter</b:Last>
            <b:First>Karin</b:First>
          </b:Person>
        </b:NameList>
      </b:Author>
    </b:Author>
    <b:JenniData>z: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</b:JenniData>
  </b:Source>
  <b:Source>
    <b:Tag>OgbeideS21</b:Tag>
    <b:SourceType>JournalArticle</b:SourceType>
    <b:Guid>{2af5dc6c-780a-4702-9a2b-bced4dd452a8}</b:Guid>
    <b:Title>Corporate governance mechanisms and financial reporting quality of commercial banks in Nigeria</b:Title>
    <b:Year>2021</b:Year>
    <b:JournalName>Insights into Regional Development</b:JournalName>
    <b:BookTitle>Insights into Regional Development</b:BookTitle>
    <b:Volume>3</b:Volume>
    <b:Issue>1</b:Issue>
    <b:Pages>136-146</b:Pages>
    <b:URL>https://doi.org/10.9770/ird.2021.3.1(8)</b:URL>
    <b:DOI>10.9770/ird.2021.3.1(8)</b:DOI>
    <b:Author>
      <b:Author>
        <b:NameList>
          <b:Person>
            <b:Last>Ogbeide</b:Last>
            <b:First>Sunday Oseiweh</b:First>
          </b:Person>
          <b:Person>
            <b:Last>Ogiugo</b:Last>
            <b:First>Henry Usunobun</b:First>
          </b:Person>
          <b:Person>
            <b:Last>Adesuyi</b:Last>
            <b:First>Isaac Olufemi</b:First>
          </b:Person>
        </b:NameList>
      </b:Author>
    </b:Author>
    <b:JenniData>z: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</b:JenniData>
  </b:Source>
  <b:Source>
    <b:Tag>BeckT05</b:Tag>
    <b:SourceType>JournalArticle</b:SourceType>
    <b:Guid>{a7798290-3f4a-461b-8f32-d6f40c2a32c4}</b:Guid>
    <b:Title>Financial and Legal Constraints to Growth: Does Firm Size Matter?</b:Title>
    <b:Year>2005</b:Year>
    <b:JournalName>The Journal of Finance</b:JournalName>
    <b:BookTitle>The Journal of Finance</b:BookTitle>
    <b:Volume>60</b:Volume>
    <b:Issue>1</b:Issue>
    <b:Pages>137-177</b:Pages>
    <b:Publisher>Wiley</b:Publisher>
    <b:URL>https://doi.org/10.1111/j.1540-6261.2005.00727.x</b:URL>
    <b:DOI>10.1111/j.1540-6261.2005.00727.x</b:DOI>
    <b:Author>
      <b:Author>
        <b:NameList>
          <b:Person>
            <b:Last>Beck</b:Last>
            <b:First>Thorsten</b:First>
          </b:Person>
          <b:Person>
            <b:Last>Demirgüç‐Kunt</b:Last>
            <b:First>Asli</b:First>
          </b:Person>
          <b:Person>
            <b:Last>Maksimovic</b:Last>
            <b:First>Vojislav</b:First>
          </b:Person>
        </b:NameList>
      </b:Author>
    </b:Author>
    <b:JenniData>z: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</b:JenniData>
  </b:Source>
  <b:Source>
    <b:Tag>DangC17</b:Tag>
    <b:SourceType>JournalArticle</b:SourceType>
    <b:Guid>{b9f005de-ec34-4ecb-8d8b-10c13934d13b}</b:Guid>
    <b:Title>Measuring firm size in empirical corporate finance</b:Title>
    <b:Year>2017</b:Year>
    <b:JournalName>Journal of Banking &amp; Finance</b:JournalName>
    <b:BookTitle>Journal of Banking &amp; Finance</b:BookTitle>
    <b:Volume>86</b:Volume>
    <b:Pages>159-176</b:Pages>
    <b:Publisher>Elsevier BV</b:Publisher>
    <b:URL>https://doi.org/10.1016/j.jbankfin.2017.09.006</b:URL>
    <b:DOI>10.1016/j.jbankfin.2017.09.006</b:DOI>
    <b:Author>
      <b:Author>
        <b:NameList>
          <b:Person>
            <b:Last>Dang</b:Last>
            <b:First>Chongyu</b:First>
          </b:Person>
          <b:Person>
            <b:Last>Li</b:Last>
            <b:First>Zhichuan</b:First>
          </b:Person>
          <b:Person>
            <b:Last>Yang</b:Last>
            <b:First>Chen</b:First>
          </b:Person>
        </b:NameList>
      </b:Author>
    </b:Author>
    <b:JenniData>z: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</b:JenniData>
  </b:Source>
  <b:Source>
    <b:Tag>DailyC03</b:Tag>
    <b:SourceType>JournalArticle</b:SourceType>
    <b:Guid>{60dbb957-b52b-4720-801f-05645138ec73}</b:Guid>
    <b:Title>Corporate Governance: Decades of Dialogue and Data</b:Title>
    <b:Year>2003</b:Year>
    <b:JournalName>Academy of Management Review</b:JournalName>
    <b:BookTitle>Academy of Management Review</b:BookTitle>
    <b:Volume>28</b:Volume>
    <b:Issue>3</b:Issue>
    <b:Pages>371-382</b:Pages>
    <b:Publisher>Academy of Management</b:Publisher>
    <b:URL>https://doi.org/10.5465/amr.2003.10196703</b:URL>
    <b:DOI>10.5465/amr.2003.10196703</b:DOI>
    <b:Author>
      <b:Author>
        <b:NameList>
          <b:Person>
            <b:Last>Daily</b:Last>
            <b:First>Catherine M.</b:First>
          </b:Person>
          <b:Person>
            <b:Last>Dalton</b:Last>
            <b:First>Dan R.</b:First>
          </b:Person>
          <b:Person>
            <b:Last>Cannella</b:Last>
            <b:First>Albert A.</b:First>
          </b:Person>
        </b:NameList>
      </b:Author>
    </b:Author>
    <b:JenniData>z: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</b:JenniData>
  </b:Source>
  <b:Source>
    <b:Tag>FamaE83</b:Tag>
    <b:SourceType>JournalArticle</b:SourceType>
    <b:Guid>{ae92710b-d1d7-49ef-b650-f84457db49b3}</b:Guid>
    <b:Title>Separation of Ownership and Control</b:Title>
    <b:Year>1983</b:Year>
    <b:JournalName>The Journal of Law and Economics</b:JournalName>
    <b:BookTitle>The Journal of Law and Economics</b:BookTitle>
    <b:Volume>26</b:Volume>
    <b:Issue>2</b:Issue>
    <b:Pages>301-325</b:Pages>
    <b:Publisher>University of Chicago Press</b:Publisher>
    <b:URL>https://doi.org/10.1086/467037</b:URL>
    <b:DOI>10.1086/467037</b:DOI>
    <b:Author>
      <b:Author>
        <b:NameList>
          <b:Person>
            <b:Last>Fama</b:Last>
            <b:First>Eugene F.</b:First>
          </b:Person>
          <b:Person>
            <b:Last>Jensen</b:Last>
            <b:First>Michael C.</b:First>
          </b:Person>
        </b:NameList>
      </b:Author>
    </b:Author>
    <b:JenniData>z: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</b:JenniData>
  </b:Source>
  <b:Source>
    <b:Tag>OlowolafeA23</b:Tag>
    <b:SourceType>JournalArticle</b:SourceType>
    <b:Guid>{daf91aa6-d911-4920-b7df-44bec651ec9a}</b:Guid>
    <b:Title>Corporate governance and financial performance of deposit money banks in Nigeria: The moderating role of economic shocks</b:Title>
    <b:Year>2023</b:Year>
    <b:Author>
      <b:Author>
        <b:NameList>
          <b:Person>
            <b:Last>Olowolafe</b:Last>
            <b:First>A.</b:First>
          </b:Person>
          <b:Person>
            <b:Last>Adegbite</b:Last>
            <b:First>E.</b:First>
          </b:Person>
        </b:NameList>
      </b:Author>
    </b:Author>
    <b:JenniData>z:ZY+xTsQwEEQNSIjP2C9A6OjoTkALDT/gxGNnibNr2c7dpQP+Kn+Hg7jqql1p3oxmvldz4zVzYDEodYm4ckfN42puY69SM3dz1Vx+VnPtxE5o13s7cVz4PepRo/VA4AOk29+7rBHmEh32DqHjeiZf/8lPLmWGe7EVbvewewxl7uqSmtOgco04nZ41J80NoKAHZLHSg6w48rz9bCMl5DZh+lPUk0PSwpUmFSzUWRkLsdAbB2S2T/QxoGkOLZQl0FZks6HN1Yl7KoP2Y/FVE/fly2197n4B</b:JenniData>
  </b:Source>
  <b:Source>
    <b:Tag>AdamsR09</b:Tag>
    <b:SourceType>JournalArticle</b:SourceType>
    <b:Guid>{78fc9609-9dd7-4c1b-9415-7636100341a6}</b:Guid>
    <b:Title>Women in the boardroom and their impact on governance and performance☆</b:Title>
    <b:Year>2009</b:Year>
    <b:JournalName>Journal of Financial Economics</b:JournalName>
    <b:BookTitle>Journal of Financial Economics</b:BookTitle>
    <b:Volume>94</b:Volume>
    <b:Issue>2</b:Issue>
    <b:Pages>291-309</b:Pages>
    <b:Publisher>Elsevier BV</b:Publisher>
    <b:URL>https://doi.org/10.1016/j.jfineco.2008.10.007</b:URL>
    <b:DOI>10.1016/j.jfineco.2008.10.007</b:DOI>
    <b:Author>
      <b:Author>
        <b:NameList>
          <b:Person>
            <b:Last>Adams</b:Last>
            <b:First>Renée B.</b:First>
          </b:Person>
          <b:Person>
            <b:Last>Ferreira</b:Last>
            <b:First>Daniel</b:First>
          </b:Person>
        </b:NameList>
      </b:Author>
    </b:Author>
    <b:JenniData>z: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</b:JenniData>
  </b:Source>
  <b:Source>
    <b:Tag>IbrahimM20</b:Tag>
    <b:SourceType>JournalArticle</b:SourceType>
    <b:Guid>{523effb9-5bc6-45cd-a129-adb87d772ee6}</b:Guid>
    <b:Title>Effect of executive compensation and share ownership on financial performance of listed deposit money banks in Nigeria</b:Title>
    <b:Year>2020</b:Year>
    <b:JournalName>Journal of Accounting and Taxation</b:JournalName>
    <b:BookTitle>Journal of Accounting and Taxation</b:BookTitle>
    <b:Volume>12</b:Volume>
    <b:Issue>1</b:Issue>
    <b:Pages>1-11</b:Pages>
    <b:Publisher>Academic Journals</b:Publisher>
    <b:URL>https://doi.org/10.5897/jat2019.0377</b:URL>
    <b:DOI>10.5897/jat2019.0377</b:DOI>
    <b:Author>
      <b:Author>
        <b:NameList>
          <b:Person>
            <b:Last>Ibrahim</b:Last>
            <b:First>Magaji Barde</b:First>
          </b:Person>
          <b:Person>
            <b:Last>Ahmed</b:Last>
            <b:First>Abubakar Zik-Rullahi</b:First>
          </b:Person>
        </b:NameList>
      </b:Author>
    </b:Author>
    <b:JenniData>z: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</b:JenniData>
  </b:Source>
  <b:Source>
    <b:Tag>LaraJ17</b:Tag>
    <b:SourceType>JournalArticle</b:SourceType>
    <b:Guid>{51df6a0d-590c-465d-8829-fa9fcaa5e7f8}</b:Guid>
    <b:Title>The monitoring role of female directors over accounting quality</b:Title>
    <b:Year>2017</b:Year>
    <b:JournalName>Bristol Research (University of Bristol)</b:JournalName>
    <b:BookTitle>Bristol Research (University of Bristol)</b:BookTitle>
    <b:Volume>45</b:Volume>
    <b:Pages>651-668</b:Pages>
    <b:Publisher>University of Bristol</b:Publisher>
    <b:URL>https://research-information.bris.ac.uk/en/publications/7b792768-fb66-45de-ae0f-f83cc8bd0bb3</b:URL>
    <b:DOI>10.1016/j.jcorpfin.2017.05.016</b:DOI>
    <b:Author>
      <b:Author>
        <b:NameList>
          <b:Person>
            <b:Last>Lara</b:Last>
            <b:First>Juan Manuel García</b:First>
          </b:Person>
          <b:Person>
            <b:Last>Osma</b:Last>
            <b:First>Beatriz García</b:First>
          </b:Person>
          <b:Person>
            <b:Last>Enguídanos</b:Last>
            <b:First>Araceli Mora</b:First>
          </b:Person>
          <b:Person>
            <b:Last>Scapin</b:Last>
            <b:First>Mariano</b:First>
          </b:Person>
        </b:NameList>
      </b:Author>
    </b:Author>
    <b:JenniData>z: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</b:JenniData>
  </b:Source>
  <b:Source>
    <b:Tag>ArunT15</b:Tag>
    <b:SourceType>JournalArticle</b:SourceType>
    <b:Guid>{9ac426a2-3c1b-42c4-897a-1793f09f8bb4}</b:Guid>
    <b:Title>Female directors and earnings management: Evidence from UK companies</b:Title>
    <b:Year>2015</b:Year>
    <b:JournalName>International Review of Financial Analysis</b:JournalName>
    <b:BookTitle>International Review of Financial Analysis</b:BookTitle>
    <b:Volume>39</b:Volume>
    <b:Pages>137-146</b:Pages>
    <b:Publisher>Elsevier BV</b:Publisher>
    <b:URL>https://doi.org/10.1016/j.irfa.2015.03.002</b:URL>
    <b:DOI>10.1016/j.irfa.2015.03.002</b:DOI>
    <b:Author>
      <b:Author>
        <b:NameList>
          <b:Person>
            <b:Last>Arun</b:Last>
            <b:First>Thankom</b:First>
          </b:Person>
          <b:Person>
            <b:Last>Almahrog</b:Last>
            <b:First>Yousf Ebrahem</b:First>
          </b:Person>
          <b:Person>
            <b:Last>Ali</b:Last>
            <b:First>Z. I.</b:First>
          </b:Person>
        </b:NameList>
      </b:Author>
    </b:Author>
    <b:JenniData>z: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</b:JenniData>
  </b:Source>
  <b:Source>
    <b:Tag>GrosvoldJ11</b:Tag>
    <b:SourceType>JournalArticle</b:SourceType>
    <b:Guid>{d69ce861-fc96-4c80-a0d4-6e25cee277c5}</b:Guid>
    <b:Title>Where Are All the Women? Institutional Context and the Prevalence of Women on the Corporate Board of Directors</b:Title>
    <b:Year>2011</b:Year>
    <b:JournalName>Business &amp; Society</b:JournalName>
    <b:BookTitle>Business &amp; Society</b:BookTitle>
    <b:Volume>50</b:Volume>
    <b:Issue>3</b:Issue>
    <b:Pages>531-555</b:Pages>
    <b:Publisher>SAGE Publishing</b:Publisher>
    <b:URL>https://doi.org/10.1177/0007650311408791</b:URL>
    <b:DOI>10.1177/0007650311408791</b:DOI>
    <b:Author>
      <b:Author>
        <b:NameList>
          <b:Person>
            <b:Last>Grosvold</b:Last>
            <b:First>Johanne</b:First>
          </b:Person>
        </b:NameList>
      </b:Author>
    </b:Author>
    <b:JenniData>z: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</b:JenniData>
  </b:Source>
  <b:Source>
    <b:Tag>SchoonjansE23</b:Tag>
    <b:SourceType>JournalArticle</b:SourceType>
    <b:Guid>{e4e438c9-b8f2-4330-8f64-bbfe9967e091}</b:Guid>
    <b:Title>Welcome on Board? Appointment Dynamics of Women as Directors</b:Title>
    <b:Year>2023</b:Year>
    <b:JournalName>Journal of Business Ethics</b:JournalName>
    <b:BookTitle>Journal of Business Ethics</b:BookTitle>
    <b:Volume>192</b:Volume>
    <b:Issue>3</b:Issue>
    <b:Pages>561-589</b:Pages>
    <b:Publisher>Springer Science+Business Media</b:Publisher>
    <b:URL>https://doi.org/10.1007/s10551-023-05451-8</b:URL>
    <b:DOI>10.1007/s10551-023-05451-8</b:DOI>
    <b:Author>
      <b:Author>
        <b:NameList>
          <b:Person>
            <b:Last>Schoonjans</b:Last>
            <b:First>Eline</b:First>
          </b:Person>
          <b:Person>
            <b:Last>Hottenrott</b:Last>
            <b:First>Hanna</b:First>
          </b:Person>
          <b:Person>
            <b:Last>Buchwald</b:Last>
            <b:First>Achim</b:First>
          </b:Person>
        </b:NameList>
      </b:Author>
    </b:Author>
    <b:JenniData>z: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</b:JenniData>
  </b:Source>
  <b:Source>
    <b:Tag>MilojeviI23</b:Tag>
    <b:SourceType>JournalArticle</b:SourceType>
    <b:Guid>{be9fe0c4-27c3-4ecb-96d2-4204f855f5b6}</b:Guid>
    <b:Title>Female CEOs and bank profitability in transitional economies: Evidence from Serbia</b:Title>
    <b:Year>2023</b:Year>
    <b:JournalName>Economic Annals</b:JournalName>
    <b:BookTitle>Economic Annals</b:BookTitle>
    <b:Volume>68</b:Volume>
    <b:Issue>238</b:Issue>
    <b:Pages>43-65</b:Pages>
    <b:URL>https://doi.org/10.2298/EKA238043M</b:URL>
    <b:DOI>10.2298/EKA238043M</b:DOI>
    <b:Author>
      <b:Author>
        <b:NameList>
          <b:Person>
            <b:Last>Milojević</b:Last>
            <b:First>I.</b:First>
          </b:Person>
        </b:NameList>
      </b:Author>
    </b:Author>
    <b:JenniData>z:ZVDNTgJBDF5/DsYn4DjxagK4eFBuRDAhSDToC3RnOkthtt3MzCLc8OQz7d3n8RncFWNMvDRt0++vb3VybMVTTpyYV/HrOjkvtHAEYvRTtlInpzlUcSk+7JFCqLDziZGiQ5k0h1KQViNmcMFuxFUFdsblL8GDaIji6+SISshxAZxjo0iWfIhPzaZzuXTw045ci/OUVQ0ktM4MQ9HeWwsFud1qTk5WuKGPd8xpg5xNu8aLw0STCXVyoo2Qv+p30/T2pjeZjdLBTf96MDcUMt43NfB+9R3BjCGiSfvpIA9VFndlq7IGH0k7fGnGIxJGsTNi83d9CL5d3GMBDtXd5DEoYKMy4LUqvViKkJGjuFPEKnrgQLGhAqfw8CwMQzXZkEHWqKyXQj2jzwhslJJ02JvWzJmuvNteLGMsw7DXa1J1xee9/8m+AA==</b:JenniData>
  </b:Source>
</b:Sources>
</file>

<file path=customXml/itemProps1.xml><?xml version="1.0" encoding="utf-8"?>
<ds:datastoreItem xmlns:ds="http://schemas.openxmlformats.org/officeDocument/2006/customXml" ds:itemID="{54B6505C-DB41-468B-882A-C15E0623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7601</Words>
  <Characters>43326</Characters>
  <Application>Microsoft Office Word</Application>
  <DocSecurity>0</DocSecurity>
  <Lines>361</Lines>
  <Paragraphs>101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50826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alok yadav</cp:lastModifiedBy>
  <cp:revision>7</cp:revision>
  <cp:lastPrinted>2026-09-22T09:35:00Z</cp:lastPrinted>
  <dcterms:created xsi:type="dcterms:W3CDTF">2026-09-20T14:17:00Z</dcterms:created>
  <dcterms:modified xsi:type="dcterms:W3CDTF">2026-09-22T09:41:00Z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